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80" w:after="280"/>
        <w:rPr>
          <w:rFonts w:ascii="Times New Roman" w:hAnsi="Times New Roman"/>
        </w:rPr>
      </w:pPr>
      <w:r>
        <w:rPr>
          <w:sz w:val="32"/>
          <w:szCs w:val="32"/>
        </w:rPr>
        <w:t>O náboženstve v rímskom práve / Rímske právo a náboženstvo</w:t>
      </w:r>
      <w:r>
        <w:rPr/>
        <w:t xml:space="preserve">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ascii="Times New Roman" w:hAnsi="Times New Roman"/>
          <w:b/>
          <w:bCs/>
        </w:rPr>
        <w:t>Ú</w:t>
      </w:r>
      <w:r>
        <w:rPr>
          <w:rFonts w:cs="Times New Roman" w:ascii="Times New Roman" w:hAnsi="Times New Roman"/>
          <w:b/>
          <w:bCs/>
          <w:sz w:val="24"/>
          <w:szCs w:val="24"/>
        </w:rPr>
        <w:t>vod</w:t>
      </w:r>
    </w:p>
    <w:p>
      <w:pPr>
        <w:pStyle w:val="Normal"/>
        <w:spacing w:before="0" w:after="0"/>
        <w:jc w:val="left"/>
        <w:rPr>
          <w:rFonts w:ascii="Times New Roman" w:hAnsi="Times New Roman"/>
        </w:rPr>
      </w:pPr>
      <w:r>
        <w:rPr>
          <w:rFonts w:cs="Times New Roman" w:ascii="Times New Roman" w:hAnsi="Times New Roman"/>
          <w:sz w:val="24"/>
          <w:szCs w:val="24"/>
        </w:rPr>
        <w:t xml:space="preserve">Dobrý deň, vážení poslucháči. Moje meno je Miroslav Lesičko a vítam vás v relácií Zrkadlenie. Neoddeliteľnou súčasťou Rímskej ríše bolo rímske právo, rímska tradícia, náboženské predstavy a úcta k posvätnému. </w:t>
      </w:r>
      <w:r>
        <w:rPr>
          <w:rFonts w:cs="Times New Roman" w:ascii="Times New Roman" w:hAnsi="Times New Roman"/>
          <w:sz w:val="24"/>
          <w:szCs w:val="24"/>
          <w:shd w:fill="auto" w:val="clear"/>
        </w:rPr>
        <w:t>Antické</w:t>
      </w:r>
      <w:r>
        <w:rPr>
          <w:rFonts w:eastAsia="Times New Roman" w:cs="Times New Roman" w:ascii="Times New Roman" w:hAnsi="Times New Roman"/>
          <w:bCs/>
          <w:sz w:val="24"/>
          <w:szCs w:val="24"/>
          <w:shd w:fill="auto" w:val="clear"/>
        </w:rPr>
        <w:t xml:space="preserve"> náboženstvo tvorilo základný pilier impéria a odzrkadľovalo sa aj v rímskom práve. </w:t>
      </w:r>
      <w:r>
        <w:rPr>
          <w:rFonts w:eastAsia="Times New Roman" w:cs="Times New Roman" w:ascii="Times New Roman" w:hAnsi="Times New Roman"/>
          <w:bCs/>
          <w:sz w:val="24"/>
          <w:szCs w:val="24"/>
        </w:rPr>
        <w:t xml:space="preserve">V rímskom svete boli pohanskí bohovia ochrancami, dobroprajníkmi, zárukou prosperity, ale aj krutými katmi. Náboženstvo sprevádzalo každý okamžik Rimana a malo prednosť pred všetkým. Rímske náboženstvo nie je metafyzické ako kresťanstvo, ale praktické. Dalo by sa povedať, že neobsahuje žiadne vyznanie viery ani mystické učenie, ale obmedzuje sa na ohraničenie, zaistenie a ospravedlnenie rôznych cyklov ľudského života, vrátane poľnohospodárstva či vojny. Od Rímskych bohov sa predovšetkým očakáva, že prinesú rozkvet impériu a jeho ďalšie víťazstvá. </w:t>
      </w:r>
      <w:r>
        <w:rPr>
          <w:rFonts w:cs="Times New Roman" w:ascii="Times New Roman" w:hAnsi="Times New Roman"/>
          <w:sz w:val="24"/>
          <w:szCs w:val="24"/>
        </w:rPr>
        <w:t xml:space="preserve">V Rímskej ríši tak </w:t>
      </w:r>
      <w:r>
        <w:rPr>
          <w:rFonts w:eastAsia="Times New Roman" w:cs="Times New Roman" w:ascii="Times New Roman" w:hAnsi="Times New Roman"/>
          <w:bCs/>
          <w:sz w:val="24"/>
          <w:szCs w:val="24"/>
        </w:rPr>
        <w:t>náboženstvo nadobúda občiansky charakter, kde bol každý jeho občan povinný podieľať sa na štátnych sviatkoch obetovania rímskym bohom a kulte cisára. Náboženská procesia obetovania rímskym bohom nie je spojená s osobnou vierou jedinca, nakoľko štát nikoho nenútil veriť v rímske božstvo. Učelom sakrálnych obetí antickým božstvám bolo zjednotiť všetkých obyvateľov ríše, ktorí sú pod jeho ochranou. Obyvatelia impéria si účasťou na náboženských procesiách mali splniť svoju povinnosť - a to nielen voči štátu, ktorý ich ochraňuje ale i voči svojim príbuzným, priateľom, známym a nakoniec i sebe.</w:t>
      </w:r>
    </w:p>
    <w:p>
      <w:pPr>
        <w:pStyle w:val="Normal"/>
        <w:spacing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1</w:t>
      </w:r>
    </w:p>
    <w:p>
      <w:pPr>
        <w:pStyle w:val="Normal"/>
        <w:spacing w:before="0" w:after="0"/>
        <w:jc w:val="left"/>
        <w:rPr>
          <w:rFonts w:ascii="Times New Roman" w:hAnsi="Times New Roman"/>
        </w:rPr>
      </w:pPr>
      <w:r>
        <w:rPr>
          <w:rFonts w:cs="Times New Roman" w:ascii="Times New Roman" w:hAnsi="Times New Roman"/>
          <w:color w:val="FF0000"/>
          <w:sz w:val="24"/>
          <w:szCs w:val="24"/>
        </w:rPr>
        <w:t>O náboženstve v rímskom práve</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eastAsia="Times New Roman" w:cs="Times New Roman" w:ascii="Times New Roman" w:hAnsi="Times New Roman"/>
          <w:b/>
          <w:bCs/>
          <w:sz w:val="24"/>
          <w:szCs w:val="24"/>
          <w:lang w:eastAsia="sk-SK"/>
        </w:rPr>
        <w:t>2</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 xml:space="preserve">Cisárske trestné právo prvého a tretieho storočia je ďaleko voľnejšie než za predchádzajúcich čias republiky. Sudcovia mali oveľa väčšiu voľnosť pri ukladaní trestu, čiže možnosti prihliadať k rôznym poľahčujúcim alebo priťažujúcim okolnostiam, v závislosti na okolnostiach spáchania trestného činu, teda slobodne </w:t>
      </w:r>
      <w:r>
        <w:rPr>
          <w:rFonts w:eastAsia="Times New Roman" w:cs="Times New Roman" w:ascii="Times New Roman" w:hAnsi="Times New Roman"/>
          <w:sz w:val="24"/>
          <w:szCs w:val="24"/>
          <w:shd w:fill="auto" w:val="clear"/>
          <w:lang w:eastAsia="sk-SK"/>
        </w:rPr>
        <w:t>rozhodovať</w:t>
      </w:r>
      <w:r>
        <w:rPr>
          <w:rFonts w:eastAsia="Times New Roman" w:cs="Times New Roman" w:ascii="Times New Roman" w:hAnsi="Times New Roman"/>
          <w:sz w:val="24"/>
          <w:szCs w:val="24"/>
          <w:lang w:eastAsia="sk-SK"/>
        </w:rPr>
        <w:t xml:space="preserve"> a posudzovať samotnú trestnosť podľa svojho uváženia. Cisár mal právo vstupovať do týchto procesov ak bol o to jedným z účastníkov konania požiadaný a uznal to za vhodné. I keď cisár mohol rozhodovať v týchto prípadov poväčšine sám, túto právomoc zväčša pridelil určitému úradníkovi. V Rímskom impériu boli sudcovia menovaní cisárom doživotne s tým, že ich minimálny vek musel dosiahnuť 25 rokov. Tresty v Rímskom súdnictve neboli pevné ale dané zákonnou normou, ktorej výška závisela od spôsobu prevedenia prečinu či zločinu a nakoniec aj uvážení sudcu. Tresty boli rôzne - od ľahších finančných, až po tvrdšie akými bolo väzenie či vyhnanstvo. Rímsky občan mohol byť odsúdený na trest smrti iba príslušnou porotou, ktorá mala právo uložiť hrdelný trest. V prípade tesného hlasovania mal cisár takzvaný porotný hlas, ktorý bol rozhodujúci pri osude obvineného. Každý Rímsky občan sa mohol proti súdnemu rozsudku odvolať a požiadať cisára o odvolanie či dokonca milosť. </w:t>
      </w:r>
    </w:p>
    <w:p>
      <w:pPr>
        <w:pStyle w:val="Normal"/>
        <w:spacing w:before="0" w:after="0"/>
        <w:jc w:val="left"/>
        <w:rPr>
          <w:rFonts w:ascii="Times New Roman" w:hAnsi="Times New Roman"/>
        </w:rPr>
      </w:pPr>
      <w:r>
        <w:rPr>
          <w:rFonts w:ascii="Times New Roman" w:hAnsi="Times New Roman"/>
        </w:rPr>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rPr>
      </w:pPr>
      <w:r>
        <w:rPr>
          <w:rFonts w:cs="Times New Roman" w:ascii="Times New Roman" w:hAnsi="Times New Roman"/>
          <w:b/>
          <w:bCs/>
          <w:color w:val="FF0000"/>
          <w:sz w:val="24"/>
          <w:szCs w:val="24"/>
        </w:rPr>
        <w:t>3</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Pre trest smrti sa používalo sťatie hlavy, obesenie, ukrižovanie alebo predhodenie šelmám. Trestným činom končiacim popravou boli aj „incest“- krvismilstvo a milenecký vzťah proti dobrým mravom čiže nemanželský styk s vydatou ženou ale i spájanie sa do nedovoleného spolku, či znesvätenia hrobu.</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lang w:eastAsia="sk-SK"/>
        </w:rPr>
        <w:t>(Kincl, Urfus, Skřejpek: Rímske právo s.332-338).</w:t>
      </w:r>
    </w:p>
    <w:p>
      <w:pPr>
        <w:pStyle w:val="Normal"/>
        <w:spacing w:before="0" w:after="0"/>
        <w:jc w:val="left"/>
        <w:rPr>
          <w:rFonts w:ascii="Times New Roman" w:hAnsi="Times New Roman" w:cs="Times New Roman"/>
          <w:color w:val="FF0000"/>
          <w:sz w:val="24"/>
          <w:szCs w:val="24"/>
          <w:lang w:eastAsia="sk-SK"/>
        </w:rPr>
      </w:pPr>
      <w:r>
        <w:rPr>
          <w:rFonts w:cs="Times New Roman" w:ascii="Times New Roman" w:hAnsi="Times New Roman"/>
          <w:color w:val="FF0000"/>
          <w:sz w:val="24"/>
          <w:szCs w:val="24"/>
          <w:lang w:eastAsia="sk-SK"/>
        </w:rPr>
      </w:r>
    </w:p>
    <w:p>
      <w:pPr>
        <w:pStyle w:val="Normal"/>
        <w:spacing w:before="0" w:after="0"/>
        <w:jc w:val="left"/>
        <w:rPr>
          <w:rFonts w:ascii="Times New Roman" w:hAnsi="Times New Roman"/>
          <w:b/>
          <w:bCs/>
        </w:rPr>
      </w:pPr>
      <w:r>
        <w:rPr>
          <w:rFonts w:cs="Times New Roman" w:ascii="Times New Roman" w:hAnsi="Times New Roman"/>
          <w:b/>
          <w:bCs/>
          <w:sz w:val="24"/>
          <w:szCs w:val="24"/>
          <w:lang w:eastAsia="sk-SK"/>
        </w:rPr>
        <w:t>4</w:t>
      </w:r>
    </w:p>
    <w:p>
      <w:pPr>
        <w:pStyle w:val="Normal"/>
        <w:spacing w:before="0" w:after="0"/>
        <w:jc w:val="left"/>
        <w:rPr>
          <w:rFonts w:ascii="Times New Roman" w:hAnsi="Times New Roman"/>
        </w:rPr>
      </w:pPr>
      <w:r>
        <w:rPr>
          <w:rFonts w:cs="Times New Roman" w:ascii="Times New Roman" w:hAnsi="Times New Roman"/>
          <w:sz w:val="24"/>
          <w:szCs w:val="24"/>
          <w:lang w:eastAsia="sk-SK"/>
        </w:rPr>
        <w:t xml:space="preserve">Pri nástupe cisára Augusta k moci v roku 27 pred naším letopočtom mala Rímska ríša 26 provincií. Augustus ich rozdelil medzi seba a senát. Cisár si ponechal kontrolu nad provinciami, ktorých spravovanie bolo náročnejšie a ktoré sa nachádzali v odľahlých častiach Rímskej ríše. Senátorské provincie spravovali tzv. prokonzuli. Funkciu prokonzula v cisárskych provinciách vykonával sám cisár prostredníctvom legátov, ktorí patrili k jazdeckému stavu. Provincie, ktoré si vyžadovali zvláštnu pozornosť a obozretnosť pri ich správe, boli spravované prefektmi. V krajinách, ktoré boli k ríši pričlenené len nedávno a ich spravovanie si vyžadovalo veľké úsilie a bolo sprevádzané mimoriadnymi ťažkosťami, bol ustanovený prokurátor. </w:t>
      </w:r>
      <w:r>
        <w:rPr>
          <w:rFonts w:eastAsia="Times New Roman" w:cs="Times New Roman" w:ascii="Times New Roman" w:hAnsi="Times New Roman"/>
          <w:sz w:val="24"/>
          <w:szCs w:val="24"/>
          <w:lang w:eastAsia="sk-SK"/>
        </w:rPr>
        <w:t>Cisár vydával pre celé impérium zákony vo forme nariadenia v štyroch formálnych dokumentoch:</w:t>
      </w:r>
    </w:p>
    <w:p>
      <w:pPr>
        <w:pStyle w:val="Normal"/>
        <w:spacing w:before="0" w:after="0"/>
        <w:jc w:val="left"/>
        <w:rPr>
          <w:rFonts w:ascii="Times New Roman" w:hAnsi="Times New Roman" w:eastAsia="Times New Roman" w:cs="Times New Roman"/>
          <w:color w:val="0070C0"/>
          <w:sz w:val="24"/>
          <w:szCs w:val="24"/>
          <w:lang w:eastAsia="sk-SK"/>
        </w:rPr>
      </w:pPr>
      <w:r>
        <w:rPr>
          <w:rFonts w:eastAsia="Times New Roman" w:cs="Times New Roman" w:ascii="Times New Roman" w:hAnsi="Times New Roman"/>
          <w:color w:val="0070C0"/>
          <w:sz w:val="24"/>
          <w:szCs w:val="24"/>
          <w:lang w:eastAsia="sk-SK"/>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5</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1. edikty- tie mali všeobecnú platnosť v ríši. Od roku 284 boli jediným zdrojom písaného práva a jediným druhom zákonného aktu.</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2. mandáty- cisárske inštrukcie, čiže smernice úradníkom a správcom v provinciách v administratívnych alebo sporových veciach.</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3. dekréty- cisárske rozsudky - v prvej alebo odvolacej inštancii, boli záväzné pre podobné prípady.</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4. reskripy- záväzné dobrozdania, na žiadosť úradníka, sudcu alebo sporovej strany.</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Cisár zasahoval do rozhodovania súkromných sporov len výnimočne a to iba v prípadoch, keď sa naňho obrátil účastník alebo účastníci sporu, ktorí neboli spokojný s rozsudkom. Účastníci sporu žiadali cisára, ako pri odvolaní sa proti rozsudku o jeho rozhodnutie. Niekedy sa na cisára obrátil účastník sporu ešte pred nerozhodnutým sporom, vtedy cisár poveril svojho úradníka aby takýto spor rozhodol.</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lang w:eastAsia="sk-SK"/>
        </w:rPr>
        <w:t>(</w:t>
      </w:r>
      <w:r>
        <w:rPr>
          <w:rFonts w:cs="Times New Roman" w:ascii="Times New Roman" w:hAnsi="Times New Roman"/>
          <w:i/>
          <w:iCs/>
          <w:color w:val="FF0000"/>
          <w:sz w:val="22"/>
          <w:szCs w:val="22"/>
        </w:rPr>
        <w:t xml:space="preserve">Rebro, Blaho: </w:t>
      </w:r>
      <w:r>
        <w:rPr>
          <w:rFonts w:eastAsia="Times New Roman" w:cs="Times New Roman" w:ascii="Times New Roman" w:hAnsi="Times New Roman"/>
          <w:i/>
          <w:iCs/>
          <w:color w:val="FF0000"/>
          <w:sz w:val="22"/>
          <w:szCs w:val="22"/>
          <w:lang w:eastAsia="sk-SK"/>
        </w:rPr>
        <w:t>Rímske právo</w:t>
      </w:r>
      <w:r>
        <w:rPr>
          <w:rFonts w:cs="Times New Roman" w:ascii="Times New Roman" w:hAnsi="Times New Roman"/>
          <w:i/>
          <w:iCs/>
          <w:color w:val="FF0000"/>
          <w:sz w:val="22"/>
          <w:szCs w:val="22"/>
        </w:rPr>
        <w:t xml:space="preserve"> </w:t>
      </w:r>
      <w:r>
        <w:rPr>
          <w:rFonts w:eastAsia="Times New Roman" w:cs="Times New Roman" w:ascii="Times New Roman" w:hAnsi="Times New Roman"/>
          <w:i/>
          <w:iCs/>
          <w:color w:val="FF0000"/>
          <w:sz w:val="22"/>
          <w:szCs w:val="22"/>
          <w:lang w:eastAsia="sk-SK"/>
        </w:rPr>
        <w:t>s.12,48)</w:t>
      </w:r>
    </w:p>
    <w:p>
      <w:pPr>
        <w:pStyle w:val="Normal"/>
        <w:spacing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left"/>
        <w:rPr>
          <w:rFonts w:ascii="Times New Roman" w:hAnsi="Times New Roman"/>
          <w:b/>
          <w:bCs/>
        </w:rPr>
      </w:pPr>
      <w:r>
        <w:rPr>
          <w:rFonts w:eastAsia="Times New Roman" w:cs="Times New Roman" w:ascii="Times New Roman" w:hAnsi="Times New Roman"/>
          <w:b/>
          <w:bCs/>
          <w:sz w:val="24"/>
          <w:szCs w:val="24"/>
          <w:lang w:eastAsia="sk-SK"/>
        </w:rPr>
        <w:t>6</w:t>
      </w:r>
    </w:p>
    <w:p>
      <w:pPr>
        <w:pStyle w:val="Normal"/>
        <w:spacing w:before="0" w:after="0"/>
        <w:jc w:val="left"/>
        <w:rPr/>
      </w:pPr>
      <w:r>
        <w:rPr>
          <w:rFonts w:cs="Times New Roman" w:ascii="Times New Roman" w:hAnsi="Times New Roman"/>
          <w:sz w:val="24"/>
          <w:szCs w:val="24"/>
        </w:rPr>
        <w:t>J</w:t>
      </w:r>
      <w:r>
        <w:rPr>
          <w:rStyle w:val="notranslate"/>
          <w:rFonts w:cs="Times New Roman" w:ascii="Times New Roman" w:hAnsi="Times New Roman"/>
          <w:sz w:val="24"/>
          <w:szCs w:val="24"/>
        </w:rPr>
        <w:t xml:space="preserve">ednou z najdôležitejších častí rímskeho právneho systému bolo ich náboženstvo, ktoré </w:t>
      </w:r>
      <w:r>
        <w:rPr>
          <w:rFonts w:cs="Times New Roman" w:ascii="Times New Roman" w:hAnsi="Times New Roman"/>
          <w:sz w:val="24"/>
          <w:szCs w:val="24"/>
        </w:rPr>
        <w:t>bolo chápané ako prejav „oddanosti“- „Pietas“, pretože kládlo dôraz na sociálnu činnosť a správanie, ktoré podporovalo jednotu a vernosť štátu. D</w:t>
      </w:r>
      <w:r>
        <w:rPr>
          <w:rStyle w:val="notranslate"/>
          <w:rFonts w:cs="Times New Roman" w:ascii="Times New Roman" w:hAnsi="Times New Roman"/>
          <w:sz w:val="24"/>
          <w:szCs w:val="24"/>
        </w:rPr>
        <w:t xml:space="preserve">održiavanie príležitostného obetovania rímskym bohom a vzdanie úcty cisárovi sa tak stáva pre každého občana ríše povinné a to pod hrozbou vysokého trestu. Rímske úrady však nevyžadovali od svojich občanov aby v nich i osobne verili a vôbec ich nezaujímalo čím sa v súkromí zaoberajú.  </w:t>
      </w:r>
      <w:r>
        <w:rPr>
          <w:rFonts w:cs="Times New Roman" w:ascii="Times New Roman" w:hAnsi="Times New Roman"/>
          <w:sz w:val="24"/>
          <w:szCs w:val="24"/>
        </w:rPr>
        <w:t xml:space="preserve">Rímski občania sa mohli slobodne venovať vlastným náboženským zvykom a presvedčeniam, pokiaľ neboli v rozpore s „oficiálnym“ občianskym náboženstvom. </w:t>
      </w:r>
      <w:r>
        <w:rPr>
          <w:rStyle w:val="notranslate"/>
          <w:rFonts w:cs="Times New Roman" w:ascii="Times New Roman" w:hAnsi="Times New Roman"/>
          <w:sz w:val="24"/>
          <w:szCs w:val="24"/>
        </w:rPr>
        <w:t>Povinnosť všetkých občanov ríše zúčastniť sa na štátnych náboženských procesiách vychádzala zo samého základu antického náboženstva, z akejsi n</w:t>
      </w:r>
      <w:r>
        <w:rPr>
          <w:rFonts w:cs="Times New Roman" w:ascii="Times New Roman" w:hAnsi="Times New Roman"/>
          <w:sz w:val="24"/>
          <w:szCs w:val="24"/>
        </w:rPr>
        <w:t xml:space="preserve">epísanej zmluvy medzi rímskym štátom a jeho bohmi. Podstatou tejto zmluvy bola veta:  „Vy - ľudia, budete prinášať obete a dary a My - bohovia, budeme pomáhať a chrániť“. Rímske náboženstvo nebolo o viere, tú si mohol každý vybrať sám podľa seba, ale o samotnom systému myslenia a vnímania sveta. Rimania verili, že bohovia dohliadajú na, každý aspekt ich života - od súkromného cez spoločenský až po ten politický a to všetko môže správne „fungovať“ iba vďaka bohom. Rímski bohovia však majú ľudské povahy a tie si stále vyžadujú pozornosť v podobe obetí. Rímske náboženstvo tak bolo o dodržiavaní vzájomných práv a povinnosti. Jednalo sa o kolektívnu zodpovednosť všetkých obyvateľov ríše za dodržiavanie týchto náboženských pravidiel, nakoľko jeden občan mohol svojou neúčasťou na náboženskej procesii - obetovaniu Bohom, narušiť s nimi mier a tým spôsobiť neblahé dôsledky pre celý štát. Dalo by sa povedať, že z náboženského hľadiska Rimania vnímali </w:t>
      </w:r>
      <w:r>
        <w:rPr>
          <w:rFonts w:eastAsia="Times New Roman" w:cs="Times New Roman" w:ascii="Times New Roman" w:hAnsi="Times New Roman"/>
          <w:bCs/>
          <w:sz w:val="24"/>
          <w:szCs w:val="24"/>
        </w:rPr>
        <w:t xml:space="preserve">každé pochybenie jednotlivca ako poškvrnu, ktorá môže mať pre ich život a fungovanie ríše neblahé dôsledky.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pPr>
      <w:r>
        <w:rPr>
          <w:rStyle w:val="notranslate"/>
          <w:rFonts w:cs="Times New Roman" w:ascii="Times New Roman" w:hAnsi="Times New Roman"/>
          <w:b/>
          <w:bCs/>
          <w:color w:val="FF0000"/>
          <w:sz w:val="24"/>
          <w:szCs w:val="24"/>
        </w:rPr>
        <w:t>7</w:t>
      </w:r>
    </w:p>
    <w:p>
      <w:pPr>
        <w:pStyle w:val="Normal"/>
        <w:spacing w:before="0" w:after="0"/>
        <w:jc w:val="left"/>
        <w:rPr/>
      </w:pPr>
      <w:r>
        <w:rPr>
          <w:rFonts w:cs="Times New Roman" w:ascii="Times New Roman" w:hAnsi="Times New Roman"/>
          <w:color w:val="FF0000"/>
          <w:sz w:val="24"/>
          <w:szCs w:val="24"/>
        </w:rPr>
        <w:t xml:space="preserve">Cicero vo svojich spisoch formou dialógu dvoch bratov odovzdáva čitateľovi ponaučenie, že Rimanom bola odovzdaná </w:t>
      </w:r>
      <w:r>
        <w:rPr>
          <w:rStyle w:val="notranslate"/>
          <w:rFonts w:cs="Times New Roman" w:ascii="Times New Roman" w:hAnsi="Times New Roman"/>
          <w:color w:val="FF0000"/>
          <w:sz w:val="24"/>
          <w:szCs w:val="24"/>
        </w:rPr>
        <w:t xml:space="preserve">starodávna viera z mýtických časov, ktorá je pevne stanovená všeobecnou dohodou rímskeho ľudu a všetkých národov. V spise „O zákonoch“ sa Cicero zaoberá prirodzeným právom, náboženskými zákonmi a rozdelením kompetencií politickým úradom. Cicero však nehľadá ideálne zriadenie ale dokonalejšiu podobu doterajšieho stavu. </w:t>
      </w:r>
    </w:p>
    <w:p>
      <w:pPr>
        <w:pStyle w:val="Normal"/>
        <w:spacing w:before="0" w:after="0"/>
        <w:rPr/>
      </w:pPr>
      <w:r>
        <w:rPr>
          <w:rStyle w:val="notranslate"/>
          <w:rFonts w:cs="Times New Roman" w:ascii="Times New Roman" w:hAnsi="Times New Roman"/>
          <w:i/>
          <w:iCs/>
          <w:color w:val="FF0000"/>
        </w:rPr>
        <w:t xml:space="preserve">(Cicero: </w:t>
      </w:r>
      <w:r>
        <w:rPr>
          <w:rFonts w:cs="Times New Roman" w:ascii="Times New Roman" w:hAnsi="Times New Roman"/>
          <w:i/>
          <w:iCs/>
          <w:color w:val="FF0000"/>
        </w:rPr>
        <w:t>O veštení;</w:t>
      </w:r>
      <w:r>
        <w:rPr>
          <w:rStyle w:val="notranslate"/>
          <w:rFonts w:cs="Times New Roman" w:ascii="Times New Roman" w:hAnsi="Times New Roman"/>
          <w:i/>
          <w:iCs/>
          <w:color w:val="FF0000"/>
        </w:rPr>
        <w:t xml:space="preserve"> Cicero:</w:t>
      </w:r>
      <w:r>
        <w:rPr>
          <w:rFonts w:cs="Times New Roman" w:ascii="Times New Roman" w:hAnsi="Times New Roman"/>
          <w:i/>
          <w:iCs/>
          <w:color w:val="FF0000"/>
        </w:rPr>
        <w:t xml:space="preserve"> O zákonoch</w:t>
      </w:r>
      <w:r>
        <w:rPr>
          <w:rStyle w:val="notranslate"/>
          <w:rFonts w:cs="Times New Roman" w:ascii="Times New Roman" w:hAnsi="Times New Roman"/>
          <w:i/>
          <w:iCs/>
          <w:color w:val="FF0000"/>
        </w:rPr>
        <w:t>).</w:t>
      </w:r>
    </w:p>
    <w:p>
      <w:pPr>
        <w:pStyle w:val="Normal"/>
        <w:spacing w:before="57" w:after="57"/>
        <w:jc w:val="left"/>
        <w:rPr>
          <w:rFonts w:ascii="Times New Roman" w:hAnsi="Times New Roman"/>
        </w:rPr>
      </w:pPr>
      <w:r>
        <w:rPr>
          <w:rFonts w:eastAsia="Times New Roman" w:cs="Times New Roman" w:ascii="Times New Roman" w:hAnsi="Times New Roman"/>
          <w:bCs/>
          <w:color w:val="FF0000"/>
          <w:sz w:val="24"/>
          <w:szCs w:val="24"/>
          <w:lang w:eastAsia="sk-SK"/>
        </w:rPr>
        <w:t>„</w:t>
      </w:r>
      <w:r>
        <w:rPr>
          <w:rFonts w:eastAsia="Times New Roman" w:cs="Times New Roman" w:ascii="Times New Roman" w:hAnsi="Times New Roman"/>
          <w:bCs/>
          <w:color w:val="FF0000"/>
          <w:sz w:val="24"/>
          <w:szCs w:val="24"/>
          <w:lang w:eastAsia="sk-SK"/>
        </w:rPr>
        <w:t xml:space="preserve">Cicero (ale aj iní rímski vzdelanci), uznávali nutnosť zachovať zvyky predkov a ctiť oficiálne božstvá. Zavrhnutie prastarých, aj keď často formálnych náboženských zvyklostí by totiž podľa ich mienky neviedlo k ničomu inému než k relativizácie hodnôt, na ktorých spoločnosť stála a k všeobecnému morálnemu rozkladu“ </w:t>
      </w:r>
    </w:p>
    <w:p>
      <w:pPr>
        <w:pStyle w:val="Normal"/>
        <w:spacing w:before="0" w:after="0"/>
        <w:rPr/>
      </w:pPr>
      <w:r>
        <w:rPr>
          <w:rStyle w:val="notranslate"/>
          <w:rFonts w:cs="Times New Roman" w:ascii="Times New Roman" w:hAnsi="Times New Roman"/>
          <w:i/>
          <w:iCs/>
          <w:color w:val="FF0000"/>
        </w:rPr>
        <w:t>(Šubrt: Príbehy rane kresťanských mučeníkov s.20).</w:t>
      </w:r>
    </w:p>
    <w:p>
      <w:pPr>
        <w:pStyle w:val="Normal"/>
        <w:spacing w:before="57" w:after="57"/>
        <w:jc w:val="left"/>
        <w:rPr>
          <w:rFonts w:ascii="Times New Roman" w:hAnsi="Times New Roman"/>
        </w:rPr>
      </w:pPr>
      <w:r>
        <w:rPr>
          <w:rFonts w:eastAsia="Times New Roman" w:cs="Times New Roman" w:ascii="Times New Roman" w:hAnsi="Times New Roman"/>
          <w:bCs/>
          <w:color w:val="FF0000"/>
          <w:sz w:val="24"/>
          <w:szCs w:val="24"/>
        </w:rPr>
        <w:t>Cieľom rímskej spoločnosti je nevyhnutné očistenie a ochrana čo najväčšej skupiny pred hnevom božstva a obnovenie dôvery medzi bohmi a ľuďmi. Každý je teda zodpovedný za všetkých a jeho najvyššou povinnosťou je svedomito dodržiavať rituály zaisťujúce božskú ochranu a mať úctu k druhým. Preto je náboženstvo rovnako ako politika, záležitosťou rímskych občanov.</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bCs/>
          <w:i/>
          <w:iCs/>
          <w:color w:val="FF0000"/>
          <w:sz w:val="22"/>
          <w:szCs w:val="22"/>
        </w:rPr>
        <w:t xml:space="preserve">(Šafin: </w:t>
      </w:r>
      <w:r>
        <w:rPr>
          <w:rFonts w:cs="Times New Roman" w:ascii="Times New Roman" w:hAnsi="Times New Roman"/>
          <w:i/>
          <w:iCs/>
          <w:color w:val="FF0000"/>
          <w:sz w:val="22"/>
          <w:szCs w:val="22"/>
        </w:rPr>
        <w:t>Obrátenie a náboženská politika svätého cisára Konštantína Veľkého</w:t>
      </w:r>
      <w:r>
        <w:rPr>
          <w:rFonts w:eastAsia="Times New Roman" w:cs="Times New Roman" w:ascii="Times New Roman" w:hAnsi="Times New Roman"/>
          <w:bCs/>
          <w:i/>
          <w:iCs/>
          <w:color w:val="FF0000"/>
          <w:sz w:val="22"/>
          <w:szCs w:val="22"/>
        </w:rPr>
        <w:t xml:space="preserve"> s.30).</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8</w:t>
      </w:r>
    </w:p>
    <w:p>
      <w:pPr>
        <w:pStyle w:val="Normal"/>
        <w:spacing w:before="0" w:after="0"/>
        <w:jc w:val="left"/>
        <w:rPr>
          <w:rFonts w:ascii="Times New Roman" w:hAnsi="Times New Roman"/>
        </w:rPr>
      </w:pPr>
      <w:r>
        <w:rPr>
          <w:rFonts w:eastAsia="Times New Roman" w:cs="Times New Roman" w:ascii="Times New Roman" w:hAnsi="Times New Roman"/>
          <w:bCs/>
          <w:sz w:val="24"/>
          <w:szCs w:val="24"/>
        </w:rPr>
        <w:t>Človek žijúci v staroveku spojuje svoju vieru s existenciou spoločnosti v ktorej žije a svojej najbližšej rodiny. Pohanskí kňazi neriadia jeho božské priania a ani ju nevykladajú v chráme ale sú tu preto, aby všetko riadili, určili čo je potrebné, dohliadali na organizovanie slávností a zodpovedali za starostlivé dodržiavanie rituálov a ich bezkonfilitký priebeh. Rímsky človek posudzuje svoju skutočnosť cez bohov takmer ako právnik, podľa ktorého má v jeho živote náboženstvo rovnakú úlohu ako štátne inštitúcie. V</w:t>
      </w:r>
      <w:r>
        <w:rPr>
          <w:rFonts w:eastAsia="JBaskervilleTxNCE" w:cs="Times New Roman" w:ascii="Times New Roman" w:hAnsi="Times New Roman"/>
          <w:sz w:val="24"/>
          <w:szCs w:val="24"/>
        </w:rPr>
        <w:t xml:space="preserve">erejné obete a zapojenie sa do spoločenského systému sú súčasťou jeho usporiadaného života a ten, kto ich naruší, je nepriateľom ba až zločincom narúšajúcim harmóniu božstva s rímskym ľudom. Niektorí historici píšu, že byť Rimanom bolo skôr povolaním ako národnosťou. Typickým rysom Rimana je pragmatizmus - a to nielen vo vzťahu k štátu ale i k Božstvám. </w:t>
      </w:r>
      <w:r>
        <w:rPr>
          <w:rFonts w:eastAsia="Times New Roman" w:cs="Times New Roman" w:ascii="Times New Roman" w:hAnsi="Times New Roman"/>
          <w:sz w:val="24"/>
          <w:szCs w:val="24"/>
          <w:lang w:eastAsia="sk-SK"/>
        </w:rPr>
        <w:t xml:space="preserve">Rímsky človek v žiadnom prípade nestavia na náhodu a nešpekuluje </w:t>
      </w:r>
      <w:r>
        <w:rPr>
          <w:rFonts w:eastAsia="Times New Roman" w:cs="Times New Roman" w:ascii="Times New Roman" w:hAnsi="Times New Roman"/>
          <w:bCs/>
          <w:sz w:val="24"/>
          <w:szCs w:val="24"/>
        </w:rPr>
        <w:t xml:space="preserve">o svojej budúcnosti, ale uzatvára s božstvom akúsi osobnú zmluvu, v ktorej svojvôľa nemá žiadne miesto, lebo predtým než niečo vykoná sa poradí s bohmi aby získal ich súhlas a ochranu. Vykonanie obete ktorej veľkosť je spojená s prianím, môže byť rôzna - od vhodenia kadidla do ohňa až po obetovanie domáceho zvieraťa. Výmenou za obetu mu je rada, ktorú sú mu božstvá dlžné, ako i dodanie sily a odvahy, či ochrany a zaistenia daného úspechu. Rimania sa preto kvôli poisteniu si božieho mieru uchyľujú k Bohom pri rôznych životných situáciách akými bola rada pri riziku investovania do konkrétneho podnikania, kúpe domu, pozemku, či vhodnosti sobášu s určitou ženou ako dobrou manželkou a matkou jeho detí. </w:t>
      </w:r>
    </w:p>
    <w:p>
      <w:pPr>
        <w:pStyle w:val="Normal"/>
        <w:spacing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before="0" w:after="0"/>
        <w:jc w:val="left"/>
        <w:rPr>
          <w:rFonts w:ascii="Times New Roman" w:hAnsi="Times New Roman"/>
          <w:b/>
          <w:bCs/>
        </w:rPr>
      </w:pPr>
      <w:r>
        <w:rPr>
          <w:rFonts w:eastAsia="Times New Roman" w:cs="Times New Roman" w:ascii="Times New Roman" w:hAnsi="Times New Roman"/>
          <w:b/>
          <w:bCs/>
          <w:color w:val="FF0000"/>
          <w:sz w:val="24"/>
          <w:szCs w:val="24"/>
        </w:rPr>
        <w:t>9</w:t>
      </w:r>
    </w:p>
    <w:p>
      <w:pPr>
        <w:pStyle w:val="Default"/>
        <w:spacing w:lineRule="auto" w:line="276" w:before="0" w:after="0"/>
        <w:jc w:val="left"/>
        <w:rPr>
          <w:rFonts w:ascii="Times New Roman" w:hAnsi="Times New Roman"/>
        </w:rPr>
      </w:pPr>
      <w:r>
        <w:rPr>
          <w:rFonts w:eastAsia="Times New Roman"/>
          <w:bCs/>
          <w:color w:val="FF0000"/>
          <w:lang w:eastAsia="sk-SK"/>
        </w:rPr>
        <w:t xml:space="preserve"> „</w:t>
      </w:r>
      <w:r>
        <w:rPr>
          <w:rFonts w:eastAsia="Times New Roman"/>
          <w:bCs/>
          <w:color w:val="FF0000"/>
          <w:lang w:eastAsia="sk-SK"/>
        </w:rPr>
        <w:t>Rímska spoločnosť bola vo všetkých veciach náboženstva pomerne tolerantná a dokázala vstrebať najrôznejšie exotické a mystické kulty. To, v aké božstvo človek verí, bolo považované za jeho súkromnú vec, do ktorej mu nikto nehovoril, pokiaľ jeho viera nejakým spôsobom neohrozovala ostatných. Na druhej strane sa ale od obyvateľov ríše vyžadovalo, aby prejavovali aspoň v minimálnej miere spolupatričnosť s občianskym kolektívom, a to tým, že budú preukazovať úctu oficiálnym božstvám a podieľať sa na spoločenských náboženských ceremoniáloch“</w:t>
      </w:r>
    </w:p>
    <w:p>
      <w:pPr>
        <w:pStyle w:val="Default"/>
        <w:spacing w:lineRule="auto" w:line="276"/>
        <w:jc w:val="left"/>
        <w:rPr>
          <w:rFonts w:ascii="Times New Roman" w:hAnsi="Times New Roman"/>
          <w:i/>
          <w:i/>
          <w:iCs/>
          <w:sz w:val="22"/>
          <w:szCs w:val="22"/>
        </w:rPr>
      </w:pPr>
      <w:r>
        <w:rPr>
          <w:rFonts w:eastAsia="Times New Roman"/>
          <w:bCs/>
          <w:i/>
          <w:iCs/>
          <w:color w:val="FF0000"/>
          <w:sz w:val="22"/>
          <w:szCs w:val="22"/>
          <w:lang w:eastAsia="sk-SK"/>
        </w:rPr>
        <w:t>(Šubrt: Príbehy rane kresťanských mučeníkov s.20).</w:t>
      </w:r>
    </w:p>
    <w:p>
      <w:pPr>
        <w:pStyle w:val="HTMLPreformatted"/>
        <w:spacing w:lineRule="auto" w:line="276" w:before="57" w:after="57"/>
        <w:jc w:val="left"/>
        <w:rPr>
          <w:rFonts w:ascii="Times New Roman" w:hAnsi="Times New Roman"/>
        </w:rPr>
      </w:pPr>
      <w:r>
        <w:rPr>
          <w:rFonts w:cs="Times New Roman" w:ascii="Times New Roman" w:hAnsi="Times New Roman"/>
          <w:color w:val="FF0000"/>
          <w:sz w:val="24"/>
          <w:szCs w:val="24"/>
        </w:rPr>
        <w:t xml:space="preserve">Väčšinu kresťanov samozrejme v impériu nikto neobťažoval. Spravidla sa kresťania, rovnako ako židia, tešili úplnej slobode bez akéhokoľvek prenasledovania. Predstava, že žili a vykonávali pobožnosti v podzemí, je úplným omylom, ktorý vzišiel z mena „Catacombus“ jedného z ich prvých cintorínov. Mali vlastné kostoly, rovnako ako židia mali svoje synagógy. So svojou vierou nerobili žiadne tajnosti. </w:t>
      </w:r>
    </w:p>
    <w:p>
      <w:pPr>
        <w:pStyle w:val="HTMLPreformatted"/>
        <w:spacing w:lineRule="auto" w:line="276"/>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s.109).</w:t>
      </w:r>
    </w:p>
    <w:p>
      <w:pPr>
        <w:pStyle w:val="HTMLPreformatted"/>
        <w:spacing w:lineRule="auto" w:line="276"/>
        <w:jc w:val="left"/>
        <w:rPr>
          <w:rFonts w:ascii="Times New Roman" w:hAnsi="Times New Roman" w:cs="Times New Roman"/>
          <w:sz w:val="24"/>
          <w:szCs w:val="24"/>
        </w:rPr>
      </w:pPr>
      <w:r>
        <w:rPr>
          <w:rFonts w:cs="Times New Roman" w:ascii="Times New Roman" w:hAnsi="Times New Roman"/>
          <w:sz w:val="24"/>
          <w:szCs w:val="24"/>
        </w:rPr>
      </w:r>
    </w:p>
    <w:p>
      <w:pPr>
        <w:pStyle w:val="HTMLPreformatted"/>
        <w:spacing w:lineRule="auto" w:line="276"/>
        <w:jc w:val="left"/>
        <w:rPr>
          <w:rFonts w:ascii="Times New Roman" w:hAnsi="Times New Roman"/>
          <w:b/>
          <w:bCs/>
        </w:rPr>
      </w:pPr>
      <w:r>
        <w:rPr>
          <w:rFonts w:cs="Times New Roman" w:ascii="Times New Roman" w:hAnsi="Times New Roman"/>
          <w:b/>
          <w:bCs/>
          <w:sz w:val="24"/>
          <w:szCs w:val="24"/>
        </w:rPr>
        <w:t>10</w:t>
      </w:r>
    </w:p>
    <w:p>
      <w:pPr>
        <w:pStyle w:val="Default"/>
        <w:spacing w:lineRule="auto" w:line="276"/>
        <w:jc w:val="left"/>
        <w:rPr>
          <w:rFonts w:ascii="Times New Roman" w:hAnsi="Times New Roman"/>
        </w:rPr>
      </w:pPr>
      <w:r>
        <w:rPr>
          <w:color w:val="auto"/>
        </w:rPr>
        <w:t>Kresťanský právnik Tertullianus píše, že kresťania už od samého začiatku dávali svoju vieru verejne najavo.</w:t>
      </w:r>
      <w:r>
        <w:rPr/>
        <w:t xml:space="preserve"> Rímske Impérium bolo tolerantné voči všetkým náboženstvám ale i sektám, samozrejme ak nepracovali pre cudziu mocnosť, nevyvolávali nepokoje a nepraktizovali ľudské obete. Rímska ríša nemala vo svojom práve definovaný oficiálny pojem „ľudská viera“ preto bola viera v impériu slobodná a každý človek na jej území si mohol vyznávať a praktizovať svoje náboženstvo podľa svojho svedomia a vedomia. Kresťanský učenec Kliment Alexandrijsky žijúci na začiatku 3 storočia dokonca uvádza, že v jeho časoch Rím uznával až 30.000 božstiev. Vo všeobecnosti sa dá povedať že Rimania podporovali náboženstvá podmanených národov a rešpektovali ich kulty a to hlavne z politických dôvodov. Podmaneným národom ponechávali praktizovanie ich kultu a ich božstvá boli neskôr prijaté do zoznamu ďalších rímskych božstiev. Rímsky štát si nesmieme predstavovať ako fanatického alebo zásadného prenasledovateľa kresťanstva ale ako impérium, ktoré bolo v prvom rade štátom práva, v ktorom sa nesmeli diať bezprávia a nezákonitosti voči </w:t>
      </w:r>
      <w:r>
        <w:rPr>
          <w:color w:val="auto"/>
        </w:rPr>
        <w:t xml:space="preserve">žiadnemu občanovi. </w:t>
      </w:r>
      <w:r>
        <w:rPr>
          <w:rFonts w:eastAsia="Times New Roman"/>
          <w:bCs/>
          <w:color w:val="auto"/>
          <w:lang w:eastAsia="sk-SK"/>
        </w:rPr>
        <w:t>Neoddeliteľnou súčasťou Rímskeho spoločensko- politického systému boli aj náboženské rituály, a ten, kto sa ich odmietal zúčastniť, dával otvorene najavo, že mu je osud spoločnosti, ktorej je súčasťou, ľahostajný.</w:t>
      </w:r>
    </w:p>
    <w:p>
      <w:pPr>
        <w:pStyle w:val="HTMLPreformatted"/>
        <w:spacing w:lineRule="auto" w:line="276"/>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HTMLPreformatted"/>
        <w:spacing w:lineRule="auto" w:line="276"/>
        <w:jc w:val="left"/>
        <w:rPr>
          <w:rFonts w:ascii="Times New Roman" w:hAnsi="Times New Roman"/>
          <w:b/>
          <w:bCs/>
        </w:rPr>
      </w:pPr>
      <w:r>
        <w:rPr>
          <w:rFonts w:cs="Times New Roman" w:ascii="Times New Roman" w:hAnsi="Times New Roman"/>
          <w:b/>
          <w:bCs/>
          <w:color w:val="FF0000"/>
          <w:sz w:val="24"/>
          <w:szCs w:val="24"/>
        </w:rPr>
        <w:t>11</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rPr>
        <w:t>Jedným z fenoménov cisárskeho kultu je „Consecratio“, čiže vyjadrenie posvätnej úcty, zbožštenia alebo zasvätenia cisára. Odráža náboženský a politický pojem, ktorý sa udržiaval počas rímskeho cisárstva a prevzal formu pevného rituálu, ktorý predstavoval motívy a podstatu o náboženskom pôvode politickej moci v Rímskom impériu.</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rPr>
        <w:t xml:space="preserve">(Sendeková: </w:t>
      </w:r>
      <w:r>
        <w:rPr>
          <w:rFonts w:cs="Times New Roman" w:ascii="Times New Roman" w:hAnsi="Times New Roman"/>
          <w:i/>
          <w:iCs/>
          <w:color w:val="FF0000"/>
          <w:sz w:val="22"/>
          <w:szCs w:val="22"/>
        </w:rPr>
        <w:t>Consecratio cisárov v Rímskej ríši v 3 až 4. storočí</w:t>
      </w:r>
      <w:r>
        <w:rPr>
          <w:rFonts w:eastAsia="Times New Roman" w:cs="Times New Roman" w:ascii="Times New Roman" w:hAnsi="Times New Roman"/>
          <w:i/>
          <w:iCs/>
          <w:color w:val="FF0000"/>
          <w:sz w:val="22"/>
          <w:szCs w:val="22"/>
        </w:rPr>
        <w:t xml:space="preserve"> s.8).</w:t>
      </w:r>
    </w:p>
    <w:p>
      <w:pPr>
        <w:pStyle w:val="HTMLPreformatted"/>
        <w:spacing w:lineRule="auto" w:line="276" w:before="57" w:after="57"/>
        <w:jc w:val="left"/>
        <w:rPr>
          <w:rFonts w:ascii="Times New Roman" w:hAnsi="Times New Roman"/>
        </w:rPr>
      </w:pPr>
      <w:r>
        <w:rPr>
          <w:rFonts w:cs="Times New Roman" w:ascii="Times New Roman" w:hAnsi="Times New Roman"/>
          <w:color w:val="FF0000"/>
          <w:sz w:val="24"/>
          <w:szCs w:val="24"/>
        </w:rPr>
        <w:t xml:space="preserve">Kresťania rešpektovali cisára, rímske inštitúcie a právomoci rímskeho štátu, samotný Tertullianus vyhlasoval: „Neustále sa prihovárame za všetkých cisárov. Modlíme sa, aby im bol dopriaty dlhý život, pokojná vláda, bezpečný domov, statočná armáda, verný senát, čestný ľud, pokojný svet a vôbec všetko, čoho by si človek aj cézar mohol priať... Mám právo tu povedať: cisár je viac náš než váš, veď ustanovil ho náš Boh“ </w:t>
      </w:r>
    </w:p>
    <w:p>
      <w:pPr>
        <w:pStyle w:val="HTMLPreformatted"/>
        <w:spacing w:lineRule="auto" w:line="276"/>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s.109).</w:t>
      </w:r>
    </w:p>
    <w:p>
      <w:pPr>
        <w:pStyle w:val="HTMLPreformatted"/>
        <w:spacing w:lineRule="auto" w:line="276"/>
        <w:jc w:val="left"/>
        <w:rPr>
          <w:rFonts w:ascii="Times New Roman" w:hAnsi="Times New Roman" w:cs="Times New Roman"/>
          <w:sz w:val="24"/>
          <w:szCs w:val="24"/>
        </w:rPr>
      </w:pPr>
      <w:r>
        <w:rPr>
          <w:rFonts w:cs="Times New Roman" w:ascii="Times New Roman" w:hAnsi="Times New Roman"/>
          <w:sz w:val="24"/>
          <w:szCs w:val="24"/>
        </w:rPr>
      </w:r>
    </w:p>
    <w:p>
      <w:pPr>
        <w:pStyle w:val="HTMLPreformatted"/>
        <w:spacing w:lineRule="auto" w:line="276"/>
        <w:jc w:val="left"/>
        <w:rPr>
          <w:rFonts w:ascii="Times New Roman" w:hAnsi="Times New Roman"/>
          <w:b/>
          <w:bCs/>
        </w:rPr>
      </w:pPr>
      <w:r>
        <w:rPr>
          <w:rFonts w:cs="Times New Roman" w:ascii="Times New Roman" w:hAnsi="Times New Roman"/>
          <w:b/>
          <w:bCs/>
          <w:sz w:val="24"/>
          <w:szCs w:val="24"/>
        </w:rPr>
        <w:t>12</w:t>
      </w:r>
    </w:p>
    <w:p>
      <w:pPr>
        <w:pStyle w:val="HTMLPreformatted"/>
        <w:spacing w:lineRule="auto" w:line="276"/>
        <w:jc w:val="left"/>
        <w:rPr>
          <w:rFonts w:ascii="Times New Roman" w:hAnsi="Times New Roman"/>
        </w:rPr>
      </w:pPr>
      <w:r>
        <w:rPr>
          <w:rFonts w:cs="Times New Roman" w:ascii="Times New Roman" w:hAnsi="Times New Roman"/>
          <w:sz w:val="24"/>
          <w:szCs w:val="24"/>
        </w:rPr>
        <w:t>Žiadny občan ríše ktorý dodržiaval zákony štátu a jeho náboženstvo, nebol úradmi perzekuovaný, nakoľko v tom štátna moc nevidela zmysel. Práve naopak, štát vyzýval a podporoval menšinové náboženstvá a to nielen po kultúrnej ale i finančnej stránke, keď prispieval na ich chod, platil ich vodcov a za štátne peniaze staval pre ich božstvá svätyne. Rímsky štát nezasahoval do duše človeka, nakoľko to nemal vo svojich koreňoch a preto ponechával na celom svojom území širokú náboženskú slobodu. Každý kto chcel, mohol vyznávať a praktizovať aj iné náboženstvá, dokonca ich mohol podľa svojho uváženia meniť ako sa mu zachcelo, napríklad ked boh určitého náboženstva nesplnil jeho predstavy alebo si  našiel lepšie, kvôli znudeniu starým, či ako módnu záležitosť, čo obyvatelia ríše hojne využívali.</w:t>
      </w:r>
    </w:p>
    <w:p>
      <w:pPr>
        <w:pStyle w:val="HTMLPreformatted"/>
        <w:spacing w:lineRule="auto" w:line="276"/>
        <w:jc w:val="left"/>
        <w:rPr>
          <w:rFonts w:ascii="Times New Roman" w:hAnsi="Times New Roman"/>
        </w:rPr>
      </w:pPr>
      <w:r>
        <w:rPr>
          <w:rFonts w:cs="Times New Roman" w:ascii="Times New Roman" w:hAnsi="Times New Roman"/>
          <w:sz w:val="24"/>
          <w:szCs w:val="24"/>
        </w:rPr>
        <w:t xml:space="preserve">Rímske právo robilo rozdiel medzi pojmami „Rítus“ čo bola súkromná viera do ktorej štát nezasahoval a „Religio“ čo bola povinnosť voči štátnym bohom a vzdanie úcty cisárovi. Religio v sebe zahrňovalo verejné, náboženské a spoločenské zvyklosti, ktoré udržovali ríšu v chode a pomáhali dosiahnuť kultúrnu jednoliatosť. Tento verejný náboženský akt štát vyžadoval od každého občana, pričom sa uspokojil i s formálnym prístupom a nežiadal od jedinca aby súkromne v tieto božstvá naozaj veril, nakoľko by to bolo v rozpore s rímskym právom. </w:t>
      </w:r>
    </w:p>
    <w:p>
      <w:pPr>
        <w:pStyle w:val="HTMLPreformatted"/>
        <w:spacing w:lineRule="auto" w:line="276"/>
        <w:jc w:val="left"/>
        <w:rPr>
          <w:rFonts w:ascii="Times New Roman" w:hAnsi="Times New Roman" w:cs="Times New Roman"/>
          <w:sz w:val="24"/>
          <w:szCs w:val="24"/>
        </w:rPr>
      </w:pPr>
      <w:r>
        <w:rPr>
          <w:rFonts w:cs="Times New Roman" w:ascii="Times New Roman" w:hAnsi="Times New Roman"/>
          <w:sz w:val="24"/>
          <w:szCs w:val="24"/>
        </w:rPr>
      </w:r>
    </w:p>
    <w:p>
      <w:pPr>
        <w:pStyle w:val="Default"/>
        <w:spacing w:lineRule="auto" w:line="276"/>
        <w:jc w:val="left"/>
        <w:rPr>
          <w:rFonts w:ascii="Times New Roman" w:hAnsi="Times New Roman"/>
          <w:b/>
          <w:bCs/>
        </w:rPr>
      </w:pPr>
      <w:r>
        <w:rPr>
          <w:rFonts w:eastAsia="Times New Roman"/>
          <w:b/>
          <w:bCs/>
          <w:color w:val="FF0000"/>
          <w:lang w:eastAsia="sk-SK"/>
        </w:rPr>
        <w:t>13</w:t>
      </w:r>
    </w:p>
    <w:p>
      <w:pPr>
        <w:pStyle w:val="Normal"/>
        <w:spacing w:before="0" w:after="0"/>
        <w:jc w:val="left"/>
        <w:rPr>
          <w:rFonts w:ascii="Times New Roman" w:hAnsi="Times New Roman"/>
        </w:rPr>
      </w:pPr>
      <w:r>
        <w:rPr>
          <w:rFonts w:cs="Times New Roman" w:ascii="Times New Roman" w:hAnsi="Times New Roman"/>
          <w:color w:val="FF0000"/>
          <w:sz w:val="24"/>
          <w:szCs w:val="24"/>
        </w:rPr>
        <w:t xml:space="preserve">Napriek tomu sa kresťania jednoznačne odmietali zúčastňovať na pohanskom kulte, vrátane obetovania bohom a vzdávania úcty cisárovi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(Nemec: Štát, cirkev a právo v Rímskej ríši s.16).</w:t>
      </w:r>
    </w:p>
    <w:p>
      <w:pPr>
        <w:pStyle w:val="Normal"/>
        <w:spacing w:before="57" w:after="57"/>
        <w:jc w:val="left"/>
        <w:rPr>
          <w:rFonts w:ascii="Times New Roman" w:hAnsi="Times New Roman"/>
        </w:rPr>
      </w:pPr>
      <w:r>
        <w:rPr>
          <w:rFonts w:cs="Times New Roman" w:ascii="Times New Roman" w:hAnsi="Times New Roman"/>
          <w:color w:val="FF0000"/>
          <w:sz w:val="24"/>
          <w:szCs w:val="24"/>
        </w:rPr>
        <w:t xml:space="preserve">A práve táto neúčasť na rímskom náboženskom kulte a životný štýl kresťanov, ktorý bol ľahko viditeľný už samotným správaním sa a konaním kresťanov, tvoril základ toho, ako boli kresťania vnímaní občanmi rímskeho impéria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(Judák: Kresťanstvo v antickom svete s.53).</w:t>
      </w:r>
    </w:p>
    <w:p>
      <w:pPr>
        <w:pStyle w:val="Normal"/>
        <w:spacing w:before="57" w:after="57"/>
        <w:jc w:val="left"/>
        <w:rPr>
          <w:rFonts w:ascii="Times New Roman" w:hAnsi="Times New Roman"/>
        </w:rPr>
      </w:pPr>
      <w:r>
        <w:rPr>
          <w:rFonts w:cs="Times New Roman" w:ascii="Times New Roman" w:hAnsi="Times New Roman"/>
          <w:color w:val="FF0000"/>
          <w:sz w:val="24"/>
          <w:szCs w:val="24"/>
        </w:rPr>
        <w:t>Pre kresťanov bolo ťažké rozlišovať medzi verejnými a súkromnými náboženskými presvedčeniami a tvrdili, že im ich vzťah k Bohu znemožňuje účasť na oficiálnom rímskom kulte. Tento prístup sa stal ešte viac problematickým v čase vzniku „cisárskeho kultu“ na konci prvého storočia“</w:t>
      </w:r>
    </w:p>
    <w:p>
      <w:pPr>
        <w:pStyle w:val="Normal"/>
        <w:spacing w:before="57" w:after="57"/>
        <w:jc w:val="left"/>
        <w:rPr>
          <w:rFonts w:ascii="Times New Roman" w:hAnsi="Times New Roman"/>
          <w:i/>
          <w:i/>
          <w:iCs/>
          <w:sz w:val="22"/>
          <w:szCs w:val="22"/>
        </w:rPr>
      </w:pPr>
      <w:r>
        <w:rPr>
          <w:rFonts w:cs="Times New Roman" w:ascii="Times New Roman" w:hAnsi="Times New Roman"/>
          <w:i/>
          <w:iCs/>
          <w:color w:val="FF0000"/>
          <w:sz w:val="22"/>
          <w:szCs w:val="22"/>
        </w:rPr>
        <w:t>(McGrath: Dejiny kresťanstva s.39,40).</w:t>
      </w:r>
    </w:p>
    <w:p>
      <w:pPr>
        <w:pStyle w:val="Normal"/>
        <w:spacing w:before="0" w:after="0"/>
        <w:jc w:val="left"/>
        <w:rPr>
          <w:rFonts w:cs="Times New Roman"/>
          <w:color w:val="FF0000"/>
          <w:sz w:val="24"/>
          <w:szCs w:val="24"/>
        </w:rPr>
      </w:pPr>
      <w:r>
        <w:rPr>
          <w:rFonts w:cs="Times New Roman"/>
          <w:color w:val="FF0000"/>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14</w:t>
      </w:r>
    </w:p>
    <w:p>
      <w:pPr>
        <w:pStyle w:val="Normal"/>
        <w:spacing w:before="0" w:after="0"/>
        <w:jc w:val="left"/>
        <w:rPr>
          <w:rFonts w:ascii="Times New Roman" w:hAnsi="Times New Roman"/>
        </w:rPr>
      </w:pPr>
      <w:r>
        <w:rPr>
          <w:rFonts w:cs="Times New Roman" w:ascii="Times New Roman" w:hAnsi="Times New Roman"/>
          <w:sz w:val="24"/>
          <w:szCs w:val="24"/>
        </w:rPr>
        <w:t xml:space="preserve">Kresťanstvo bolo presiaknuté ideologiou židovských nacionalistických a iredentistických zelótov, ktorí boli extrémne až militantne naladení proti rímskej moci s cieľom sa od nej odčleniť. Svätý Pavol veľmi dobre chápal nebezpečenstvo pre kresťanstvo, ktoré pramení z dedičstva zelótov a preto sa snažil vo svojom učení nielen čo najviac vzdialiť od ich ideológie ale celkovo od judaizmu a nenásilnou pokojnou cestou zaradiť kresťanstvo ako akceptované náboženstva do rímskeho panteónu. Pavol preto vo svojich misiách rozširoval kresťanstvo ako nežidovské, nepolitické a národnostne indiferentné. Svojim prívržencom dôkladne prízvukoval aby boli lojálni občania ríše, poctivo platili štátu dane a počúvali ustanovenú autoritu cisára.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15</w:t>
      </w:r>
    </w:p>
    <w:p>
      <w:pPr>
        <w:pStyle w:val="Normal"/>
        <w:spacing w:before="0" w:after="0"/>
        <w:jc w:val="left"/>
        <w:rPr>
          <w:rFonts w:ascii="Times New Roman" w:hAnsi="Times New Roman"/>
        </w:rPr>
      </w:pPr>
      <w:r>
        <w:rPr>
          <w:rFonts w:cs="Times New Roman" w:ascii="Times New Roman" w:hAnsi="Times New Roman"/>
          <w:color w:val="FF0000"/>
          <w:sz w:val="24"/>
          <w:szCs w:val="24"/>
        </w:rPr>
        <w:t xml:space="preserve">Rímsky štát, na území ktorého kresťanská Cirkev vznikla, si kresťanské náboženstvo nevšimol hneď. Kresťanské náboženstvo bolo totiž spočiatku vnímané ako náboženstvo židovské, ako istá židovská sekta. Pre kresťanskú Cirkev boli preto spočiatku v platnosti rovnako všetky predpisy a zákony, ktoré platili pre Židov a synagógu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(Špirko: Cirkevné dejiny s.29).</w:t>
      </w:r>
    </w:p>
    <w:p>
      <w:pPr>
        <w:pStyle w:val="Default"/>
        <w:spacing w:lineRule="auto" w:line="276" w:before="57" w:after="57"/>
        <w:jc w:val="left"/>
        <w:rPr>
          <w:rFonts w:ascii="Times New Roman" w:hAnsi="Times New Roman"/>
        </w:rPr>
      </w:pPr>
      <w:r>
        <w:rPr>
          <w:rFonts w:eastAsia="Times New Roman"/>
          <w:color w:val="FF0000"/>
        </w:rPr>
        <w:t>„</w:t>
      </w:r>
      <w:r>
        <w:rPr>
          <w:rFonts w:eastAsia="Times New Roman"/>
          <w:color w:val="FF0000"/>
        </w:rPr>
        <w:t xml:space="preserve">Rimania rešpektovali judaizmus kvôli jeho starobylosti, lebo rodovú tradíciu považovali za zdroj sociálnej a politickej stability“ </w:t>
      </w:r>
    </w:p>
    <w:p>
      <w:pPr>
        <w:pStyle w:val="NormalWeb"/>
        <w:spacing w:lineRule="auto" w:line="276" w:beforeAutospacing="0" w:before="0" w:afterAutospacing="0" w:after="0"/>
        <w:jc w:val="left"/>
        <w:rPr>
          <w:rFonts w:ascii="Times New Roman" w:hAnsi="Times New Roman"/>
          <w:i/>
          <w:i/>
          <w:iCs/>
          <w:sz w:val="22"/>
          <w:szCs w:val="22"/>
        </w:rPr>
      </w:pPr>
      <w:r>
        <w:rPr>
          <w:i/>
          <w:iCs/>
          <w:color w:val="FF0000"/>
          <w:sz w:val="22"/>
          <w:szCs w:val="22"/>
        </w:rPr>
        <w:t>(Esler: Spoločenstvo a evanjelium o Lukášovi s.215).</w:t>
      </w:r>
      <w:r>
        <w:rPr>
          <w:rFonts w:eastAsia="MinionPro-Regular"/>
          <w:i/>
          <w:iCs/>
          <w:color w:val="FF0000"/>
          <w:sz w:val="22"/>
          <w:szCs w:val="22"/>
        </w:rPr>
        <w:t xml:space="preserve"> </w:t>
      </w:r>
    </w:p>
    <w:p>
      <w:pPr>
        <w:pStyle w:val="Normal"/>
        <w:spacing w:before="57" w:after="57"/>
        <w:jc w:val="left"/>
        <w:rPr>
          <w:rFonts w:ascii="Times New Roman" w:hAnsi="Times New Roman"/>
        </w:rPr>
      </w:pPr>
      <w:r>
        <w:rPr>
          <w:rFonts w:eastAsia="MinionPro-Regular" w:cs="Times New Roman" w:ascii="Times New Roman" w:hAnsi="Times New Roman"/>
          <w:color w:val="FF0000"/>
          <w:sz w:val="24"/>
          <w:szCs w:val="24"/>
        </w:rPr>
        <w:t>„</w:t>
      </w:r>
      <w:r>
        <w:rPr>
          <w:rFonts w:eastAsia="MinionPro-Regular" w:cs="Times New Roman" w:ascii="Times New Roman" w:hAnsi="Times New Roman"/>
          <w:color w:val="FF0000"/>
          <w:sz w:val="24"/>
          <w:szCs w:val="24"/>
        </w:rPr>
        <w:t>Nech by boli tieto židovské obyčaje zavedené akokoľvek, sú ospravedlňované svojou starobylosťou“</w:t>
      </w:r>
    </w:p>
    <w:p>
      <w:pPr>
        <w:pStyle w:val="Normal"/>
        <w:spacing w:before="0" w:after="0"/>
        <w:jc w:val="left"/>
        <w:rPr>
          <w:rFonts w:ascii="Times New Roman" w:hAnsi="Times New Roman"/>
          <w:i/>
          <w:i/>
          <w:iCs/>
          <w:sz w:val="22"/>
          <w:szCs w:val="22"/>
        </w:rPr>
      </w:pPr>
      <w:r>
        <w:rPr>
          <w:rFonts w:eastAsia="MinionPro-Regular" w:cs="Times New Roman" w:ascii="Times New Roman" w:hAnsi="Times New Roman"/>
          <w:i/>
          <w:iCs/>
          <w:color w:val="FF0000"/>
          <w:sz w:val="22"/>
          <w:szCs w:val="22"/>
        </w:rPr>
        <w:t>(Tacitus: Dejiny Ríma 5/5).</w:t>
      </w:r>
    </w:p>
    <w:p>
      <w:pPr>
        <w:pStyle w:val="NormalWeb"/>
        <w:spacing w:lineRule="auto" w:line="276" w:beforeAutospacing="0" w:before="57" w:afterAutospacing="0" w:after="57"/>
        <w:jc w:val="left"/>
        <w:rPr>
          <w:rFonts w:ascii="Times New Roman" w:hAnsi="Times New Roman"/>
        </w:rPr>
      </w:pPr>
      <w:r>
        <w:rPr>
          <w:color w:val="FF0000"/>
        </w:rPr>
        <w:t>„</w:t>
      </w:r>
      <w:r>
        <w:rPr>
          <w:color w:val="FF0000"/>
        </w:rPr>
        <w:t>Aj tieto územia rímsky vojvodca Pompeus po skrotení Židov a dobití Jeruzalema urobil rímskou provinciou, pravda s osobitou jurisdikciou“</w:t>
      </w:r>
    </w:p>
    <w:p>
      <w:pPr>
        <w:pStyle w:val="NormalWeb"/>
        <w:spacing w:lineRule="auto" w:line="276" w:beforeAutospacing="0" w:before="0" w:afterAutospacing="0" w:after="0"/>
        <w:jc w:val="left"/>
        <w:rPr>
          <w:rFonts w:ascii="Times New Roman" w:hAnsi="Times New Roman"/>
          <w:i/>
          <w:i/>
          <w:iCs/>
          <w:sz w:val="22"/>
          <w:szCs w:val="22"/>
        </w:rPr>
      </w:pPr>
      <w:r>
        <w:rPr>
          <w:i/>
          <w:iCs/>
          <w:color w:val="FF0000"/>
          <w:sz w:val="22"/>
          <w:szCs w:val="22"/>
        </w:rPr>
        <w:t>(Ammianus Marcellinus: Rímske dejiny 14/8).</w:t>
      </w:r>
    </w:p>
    <w:p>
      <w:pPr>
        <w:pStyle w:val="Normal"/>
        <w:tabs>
          <w:tab w:val="clear" w:pos="708"/>
          <w:tab w:val="left" w:pos="201" w:leader="none"/>
        </w:tabs>
        <w:spacing w:before="57" w:after="57"/>
        <w:jc w:val="left"/>
        <w:rPr>
          <w:rFonts w:ascii="Times New Roman" w:hAnsi="Times New Roman"/>
        </w:rPr>
      </w:pPr>
      <w:r>
        <w:rPr>
          <w:rFonts w:eastAsia="Times New Roman" w:cs="Times New Roman" w:ascii="Times New Roman" w:hAnsi="Times New Roman"/>
          <w:color w:val="FF0000"/>
          <w:sz w:val="24"/>
          <w:szCs w:val="24"/>
        </w:rPr>
        <w:t xml:space="preserve">Cézarove slová o vernosti židov k Rimanom vo vojnách proti Egyptu dosvedčujú i listy Rímskeho senátu a cézara Augusta , ktoré potvrdili naše zásluhy  </w:t>
      </w:r>
    </w:p>
    <w:p>
      <w:pPr>
        <w:pStyle w:val="Normal"/>
        <w:tabs>
          <w:tab w:val="clear" w:pos="708"/>
          <w:tab w:val="left" w:pos="201" w:leader="none"/>
        </w:tabs>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rPr>
        <w:t xml:space="preserve">(Jozefus Flavius: O starobylosti Židov 2/61). </w:t>
      </w:r>
    </w:p>
    <w:p>
      <w:pPr>
        <w:pStyle w:val="Normal"/>
        <w:spacing w:before="0" w:after="0"/>
        <w:jc w:val="left"/>
        <w:rPr>
          <w:rFonts w:ascii="Times New Roman" w:hAnsi="Times New Roman" w:eastAsia="MinionPro-Regular" w:cs="Times New Roman"/>
          <w:color w:val="FF0000"/>
          <w:sz w:val="24"/>
          <w:szCs w:val="24"/>
        </w:rPr>
      </w:pPr>
      <w:r>
        <w:rPr>
          <w:rFonts w:eastAsia="MinionPro-Regular" w:cs="Times New Roman" w:ascii="Times New Roman" w:hAnsi="Times New Roman"/>
          <w:color w:val="FF0000"/>
          <w:sz w:val="24"/>
          <w:szCs w:val="24"/>
        </w:rPr>
      </w:r>
    </w:p>
    <w:p>
      <w:pPr>
        <w:pStyle w:val="Normal"/>
        <w:spacing w:before="0" w:after="0"/>
        <w:jc w:val="left"/>
        <w:rPr>
          <w:rFonts w:ascii="Times New Roman" w:hAnsi="Times New Roman"/>
          <w:b/>
          <w:bCs/>
        </w:rPr>
      </w:pPr>
      <w:r>
        <w:rPr>
          <w:rFonts w:eastAsia="MinionPro-Regular" w:cs="Times New Roman" w:ascii="Times New Roman" w:hAnsi="Times New Roman"/>
          <w:b/>
          <w:bCs/>
          <w:sz w:val="24"/>
          <w:szCs w:val="24"/>
        </w:rPr>
        <w:t>16</w:t>
      </w:r>
    </w:p>
    <w:p>
      <w:pPr>
        <w:pStyle w:val="Default"/>
        <w:spacing w:lineRule="auto" w:line="276"/>
        <w:jc w:val="left"/>
        <w:rPr>
          <w:rFonts w:ascii="Times New Roman" w:hAnsi="Times New Roman"/>
        </w:rPr>
      </w:pPr>
      <w:r>
        <w:rPr>
          <w:rFonts w:eastAsia="Times New Roman"/>
        </w:rPr>
        <w:t xml:space="preserve">Židia dostali v impériu najväčšie privilégia od Julia Caesara, keď ho podporili politicky a vojensky v občianskej vojne v rokoch 49 až 45 pred naším letopočtom. Caesar </w:t>
      </w:r>
      <w:r>
        <w:rPr/>
        <w:t xml:space="preserve">zrušil Pompeove protižidovské nariadenia z roku 63 pred naším letopočtom, udelil pocty židovským vodcom a v niekoľkých dekrétoch udelil židom rôzne privilégia. Židovský vodca Antipater dostal poctu udelením štátneho občianstva Ríma a </w:t>
      </w:r>
      <w:r>
        <w:rPr>
          <w:rFonts w:eastAsia="Times New Roman"/>
        </w:rPr>
        <w:t xml:space="preserve">Hyrcanus II, ktorý s 1500 vojakmi udatne bojoval pri Alexandrii s rímskym vojskom, dostal pre seba a svojich potomkov titul najvyššieho kňaza. Julius Caesar dekrétmi obnovil židom </w:t>
      </w:r>
      <w:r>
        <w:rPr>
          <w:lang w:eastAsia="sk-SK"/>
        </w:rPr>
        <w:t>staré</w:t>
      </w:r>
      <w:r>
        <w:rPr/>
        <w:t xml:space="preserve"> </w:t>
      </w:r>
      <w:r>
        <w:rPr>
          <w:lang w:eastAsia="sk-SK"/>
        </w:rPr>
        <w:t>práva jeruzalemského kultového zboru</w:t>
      </w:r>
      <w:r>
        <w:rPr/>
        <w:t>, z</w:t>
      </w:r>
      <w:r>
        <w:rPr>
          <w:lang w:eastAsia="sk-SK"/>
        </w:rPr>
        <w:t xml:space="preserve">rušil územné rozdelenie </w:t>
      </w:r>
      <w:r>
        <w:rPr>
          <w:lang w:eastAsia="sk-SK"/>
        </w:rPr>
        <w:t xml:space="preserve">zavedené </w:t>
      </w:r>
      <w:r>
        <w:rPr/>
        <w:t>Pompe</w:t>
      </w:r>
      <w:r>
        <w:rPr/>
        <w:t>om a navyše</w:t>
      </w:r>
      <w:r>
        <w:rPr/>
        <w:t xml:space="preserve"> pričlenil k Judei ďalšie územie. Ď</w:t>
      </w:r>
      <w:r>
        <w:rPr/>
        <w:t>alej</w:t>
      </w:r>
      <w:r>
        <w:rPr/>
        <w:t xml:space="preserve"> obnovil prístav Jaffa, </w:t>
      </w:r>
      <w:r>
        <w:rPr>
          <w:lang w:eastAsia="sk-SK"/>
        </w:rPr>
        <w:t>oslobodil židov od vojenskej služby,</w:t>
      </w:r>
      <w:r>
        <w:rPr/>
        <w:t xml:space="preserve"> znížil im štátom udelenú pozemkovú daň a udelil im </w:t>
      </w:r>
      <w:r>
        <w:rPr>
          <w:lang w:eastAsia="sk-SK"/>
        </w:rPr>
        <w:t xml:space="preserve">právo vyberať daň na svojom území </w:t>
      </w:r>
      <w:r>
        <w:rPr>
          <w:lang w:eastAsia="sk-SK"/>
        </w:rPr>
        <w:t>a rôzne iné</w:t>
      </w:r>
      <w:r>
        <w:rPr/>
        <w:t xml:space="preserve"> privilégiá</w:t>
      </w:r>
      <w:r>
        <w:rPr>
          <w:lang w:eastAsia="sk-SK"/>
        </w:rPr>
        <w:t xml:space="preserve">. Z náboženského hľadiska Caesarove nariadenia povoľovali judaizmu spoločenské hostiny, slávnosti a zhromažďovanie sa na bohoslužbách nielen v chráme, ale aj v synagógach. Najväčšiu váhu pre židov však malo vyňatie judaizmu zo všeobecného zákazu </w:t>
      </w:r>
      <w:r>
        <w:rPr>
          <w:color w:val="auto"/>
          <w:lang w:eastAsia="sk-SK"/>
        </w:rPr>
        <w:t xml:space="preserve">spolčovania sa. Nariadenia Júlia Cézara potvrdené cisárom Augustom znamenali, že židia sa dostali pod ochranu impéria. </w:t>
      </w:r>
      <w:r>
        <w:rPr>
          <w:color w:val="auto"/>
          <w:lang w:eastAsia="sk-SK"/>
        </w:rPr>
        <w:t>T</w:t>
      </w:r>
      <w:r>
        <w:rPr>
          <w:color w:val="auto"/>
          <w:lang w:eastAsia="sk-SK"/>
        </w:rPr>
        <w:t xml:space="preserve">ieto veľkorysé a bezprecedentné ústupky, ktoré Rimania nedali žiadnemu národu, </w:t>
      </w:r>
      <w:r>
        <w:rPr>
          <w:color w:val="auto"/>
          <w:lang w:eastAsia="sk-SK"/>
        </w:rPr>
        <w:t>však Židom</w:t>
      </w:r>
      <w:r>
        <w:rPr>
          <w:color w:val="auto"/>
          <w:lang w:eastAsia="sk-SK"/>
        </w:rPr>
        <w:t xml:space="preserve"> nestačili a snažili sa získať pre seba ešte lepšie podmienky. Cez uplácanie senátorov a </w:t>
      </w:r>
      <w:r>
        <w:rPr>
          <w:rFonts w:eastAsia="Times New Roman"/>
          <w:color w:val="auto"/>
        </w:rPr>
        <w:t xml:space="preserve">starodávny rímsky vzťah „patronus (ochranca) a- client (človek potrebujúci pomoc a verný svojmu donátorovi)“ sa snažili námietkami a reakciami na rôzne udalosti a zákony využívať tento charakteristický rys rímskej spoločnosti pre svoje ciele a </w:t>
      </w:r>
      <w:r>
        <w:rPr>
          <w:color w:val="auto"/>
          <w:lang w:eastAsia="sk-SK"/>
        </w:rPr>
        <w:t xml:space="preserve">vydobyť si </w:t>
      </w:r>
      <w:r>
        <w:rPr>
          <w:rFonts w:eastAsia="Times New Roman"/>
          <w:color w:val="auto"/>
        </w:rPr>
        <w:t xml:space="preserve">v </w:t>
      </w:r>
      <w:r>
        <w:rPr>
          <w:rFonts w:eastAsia="Times New Roman"/>
          <w:color w:val="auto"/>
        </w:rPr>
        <w:t>jej</w:t>
      </w:r>
      <w:r>
        <w:rPr>
          <w:rFonts w:eastAsia="Times New Roman"/>
          <w:color w:val="auto"/>
        </w:rPr>
        <w:t xml:space="preserve"> systéme pre seba čo najlepšie postavenie.</w:t>
      </w:r>
    </w:p>
    <w:p>
      <w:pPr>
        <w:pStyle w:val="Default"/>
        <w:spacing w:lineRule="auto" w:line="276"/>
        <w:jc w:val="left"/>
        <w:rPr>
          <w:rFonts w:ascii="Times New Roman" w:hAnsi="Times New Roman"/>
          <w:color w:val="auto"/>
          <w:lang w:eastAsia="sk-SK"/>
        </w:rPr>
      </w:pPr>
      <w:r>
        <w:rPr>
          <w:color w:val="auto"/>
          <w:lang w:eastAsia="sk-SK"/>
        </w:rPr>
      </w:r>
    </w:p>
    <w:p>
      <w:pPr>
        <w:pStyle w:val="Default"/>
        <w:spacing w:lineRule="auto" w:line="276"/>
        <w:jc w:val="left"/>
        <w:rPr>
          <w:rFonts w:ascii="Times New Roman" w:hAnsi="Times New Roman"/>
          <w:b/>
          <w:bCs/>
        </w:rPr>
      </w:pPr>
      <w:r>
        <w:rPr>
          <w:b/>
          <w:bCs/>
          <w:color w:val="FF0000"/>
          <w:lang w:eastAsia="sk-SK"/>
        </w:rPr>
        <w:t>17</w:t>
      </w:r>
    </w:p>
    <w:p>
      <w:pPr>
        <w:pStyle w:val="Default"/>
        <w:spacing w:lineRule="auto" w:line="276"/>
        <w:jc w:val="left"/>
        <w:rPr>
          <w:rFonts w:ascii="Times New Roman" w:hAnsi="Times New Roman"/>
        </w:rPr>
      </w:pPr>
      <w:r>
        <w:rPr>
          <w:color w:val="FF0000"/>
        </w:rPr>
        <w:t xml:space="preserve"> „</w:t>
      </w:r>
      <w:r>
        <w:rPr>
          <w:color w:val="FF0000"/>
        </w:rPr>
        <w:t xml:space="preserve">V skutočnosti rôzne oprávnenia a výnimky udelené Židom boli reakciami na konkrétne sťažnosti alebo požiadavky, ktoré boli podané v súvislosti s tradičnou sponzorskou sieťou“ </w:t>
      </w:r>
      <w:r>
        <w:rPr>
          <w:i/>
          <w:iCs/>
          <w:color w:val="FF0000"/>
          <w:sz w:val="22"/>
          <w:szCs w:val="22"/>
        </w:rPr>
        <w:t>(Smallwood: Židia pod Rímskou nadvládou s. 539).</w:t>
      </w:r>
    </w:p>
    <w:p>
      <w:pPr>
        <w:pStyle w:val="Normal"/>
        <w:spacing w:before="57" w:after="57"/>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Židom bolo povolené, aby namiesto uctievania cisára preukazovali svoju úctu štátu tým, že obete bohu prinášali v mene cisára. To bol ústupok vskutku jedinečný. Neuveriteľné na tom je, že Židom to nikto nezazlieval“</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s.23).</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center"/>
        <w:rPr>
          <w:rFonts w:ascii="Times New Roman" w:hAnsi="Times New Roman"/>
          <w:b/>
          <w:bCs/>
        </w:rPr>
      </w:pPr>
      <w:r>
        <w:rPr>
          <w:rFonts w:cs="Times New Roman" w:ascii="Times New Roman" w:hAnsi="Times New Roman"/>
          <w:b/>
          <w:bCs/>
          <w:sz w:val="24"/>
          <w:szCs w:val="24"/>
        </w:rPr>
        <w:t>HUDBA</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18</w:t>
      </w:r>
    </w:p>
    <w:p>
      <w:pPr>
        <w:pStyle w:val="Normal"/>
        <w:spacing w:before="0" w:after="0"/>
        <w:jc w:val="left"/>
        <w:rPr>
          <w:rFonts w:ascii="Times New Roman" w:hAnsi="Times New Roman"/>
        </w:rPr>
      </w:pPr>
      <w:r>
        <w:rPr>
          <w:rFonts w:eastAsia="MinionPro-Regular" w:cs="Times New Roman" w:ascii="Times New Roman" w:hAnsi="Times New Roman"/>
          <w:sz w:val="24"/>
          <w:szCs w:val="24"/>
        </w:rPr>
        <w:t xml:space="preserve">Judaizmus a židovské obyčaje sú v rímskom impériu a rímskej spoločnosti  ospravedlňované svojou starobylosťou, zatiaľ čo kresťanstvo je podľa Rimanov poverou, ktorá vznikla nedávno za vlády cisára Tiberia. </w:t>
      </w:r>
      <w:r>
        <w:rPr>
          <w:rFonts w:eastAsia="MinionPro-Regular" w:cs="Times New Roman" w:ascii="Times New Roman" w:hAnsi="Times New Roman"/>
          <w:sz w:val="24"/>
          <w:szCs w:val="24"/>
          <w:shd w:fill="FFFFA6" w:val="clear"/>
        </w:rPr>
        <w:t>Pokiaľ bolo kresťanstvo vnímane ako judaistická sekta, požívali kresťania rovnaké výhody ako príslušníci tohto náboženstva.</w:t>
      </w:r>
      <w:r>
        <w:rPr>
          <w:rFonts w:eastAsia="MinionPro-Regular" w:cs="Times New Roman" w:ascii="Times New Roman" w:hAnsi="Times New Roman"/>
          <w:sz w:val="24"/>
          <w:szCs w:val="24"/>
        </w:rPr>
        <w:t xml:space="preserve"> </w:t>
      </w:r>
      <w:r>
        <w:rPr>
          <w:rFonts w:eastAsia="Times New Roman" w:cs="Times New Roman" w:ascii="Times New Roman" w:hAnsi="Times New Roman"/>
          <w:sz w:val="24"/>
          <w:szCs w:val="24"/>
        </w:rPr>
        <w:t>Po prvej židovskej vojne nastal proces oddelenia kresťanstva od judaizmu, ktorý bol dokončený reformou daňového zákona „iudaicum fiscus“ cisára Nervu, kde boli kresťania oslobodení od jeho platenia. Rímska moc týmto zákonom nezamýšľane z kresťanov urobila subjekt- spolok (hetaeria), ktorého duchovná stránka- ideológia bola vnímaná ako povera (superstitio). Kresťania získali v rímskom systéme svoju samostatnú pozíciu no stratili výhody, ktoré mali ako „judaistická sekta“- beztrestnosť pri neúčasti na štátom organizovaných akciách. N</w:t>
      </w:r>
      <w:r>
        <w:rPr>
          <w:rFonts w:cs="Times New Roman" w:ascii="Times New Roman" w:hAnsi="Times New Roman"/>
          <w:sz w:val="24"/>
          <w:szCs w:val="24"/>
        </w:rPr>
        <w:t xml:space="preserve">eúčasť na štátnych náboženských akciách sa v rímskom systéme považovala nielen za niečo nerozumné ale za niečo, čo spôsobuje rozpad tradičnej rímskej spoločnosti. Takéto správanie sa bolo Rimanmi považované za zločinné. </w:t>
      </w:r>
      <w:r>
        <w:rPr>
          <w:rFonts w:eastAsia="JBaskervilleTxNCE" w:cs="Times New Roman" w:ascii="Times New Roman" w:hAnsi="Times New Roman"/>
          <w:sz w:val="24"/>
          <w:szCs w:val="24"/>
        </w:rPr>
        <w:t xml:space="preserve">Z rímskeho pohľadu sa zdá, že kresťanské náboženstvo robí pravý opak toho čo by skutočné náboženstvo robiť malo. </w:t>
      </w:r>
    </w:p>
    <w:p>
      <w:pPr>
        <w:pStyle w:val="Normal"/>
        <w:spacing w:before="0" w:after="0"/>
        <w:jc w:val="left"/>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pacing w:before="0" w:after="0"/>
        <w:jc w:val="left"/>
        <w:rPr>
          <w:rFonts w:ascii="Times New Roman" w:hAnsi="Times New Roman"/>
          <w:b/>
          <w:bCs/>
        </w:rPr>
      </w:pPr>
      <w:r>
        <w:rPr>
          <w:rFonts w:eastAsia="JBaskervilleTxNCE" w:cs="Times New Roman" w:ascii="Times New Roman" w:hAnsi="Times New Roman"/>
          <w:b/>
          <w:bCs/>
          <w:color w:val="FF0000"/>
          <w:sz w:val="24"/>
          <w:szCs w:val="24"/>
        </w:rPr>
        <w:t>19</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Rimanom sa zdá, že nechcú od kresťanov tak veľa. Nevedia pochopiť prečo kresťania robia okolo obetovania také „okolky“, zdajú sa im abnormálni keď odmietajú prijať takú neškodnú a bežnú súčasť života (ako je obetovanie bohom)...  Vo svete kde sú bohovia skutoční kde na jednej strane „ťa“ chránia a na druhej idú proti „tebe“ je obetovanie pochopiteľnou nutnosťou. Takéto uvažovanie je pre Rimana logické a reálne ako dom v ktorom býva. Neobetovať rímskym bohom je preto nespoločenské, protirímske a zradné, spochybňuje to celé spoločenské usporiadanie“</w:t>
      </w:r>
    </w:p>
    <w:p>
      <w:pPr>
        <w:pStyle w:val="Normal"/>
        <w:spacing w:before="0" w:after="0"/>
        <w:jc w:val="left"/>
        <w:rPr/>
      </w:pPr>
      <w:r>
        <w:rPr>
          <w:rFonts w:cs="Times New Roman" w:ascii="Times New Roman" w:hAnsi="Times New Roman"/>
          <w:i/>
          <w:iCs/>
          <w:color w:val="FF0000"/>
          <w:sz w:val="22"/>
          <w:szCs w:val="22"/>
        </w:rPr>
        <w:t>(</w:t>
      </w:r>
      <w:hyperlink r:id="rId2">
        <w:r>
          <w:rPr>
            <w:rStyle w:val="Hyperlink"/>
            <w:rFonts w:cs="Times New Roman" w:ascii="Times New Roman" w:hAnsi="Times New Roman"/>
            <w:bCs/>
            <w:i/>
            <w:iCs/>
            <w:color w:val="FF0000"/>
            <w:sz w:val="22"/>
            <w:szCs w:val="22"/>
            <w:u w:val="none"/>
          </w:rPr>
          <w:t xml:space="preserve">Scott: </w:t>
        </w:r>
        <w:r>
          <w:rPr>
            <w:rStyle w:val="Hyperlink"/>
            <w:rFonts w:cs="Times New Roman" w:ascii="Times New Roman" w:hAnsi="Times New Roman"/>
            <w:i/>
            <w:iCs/>
            <w:color w:val="FF0000"/>
            <w:sz w:val="22"/>
            <w:szCs w:val="22"/>
            <w:u w:val="none"/>
          </w:rPr>
          <w:t>Ježišov vzostup k moci – mučeníci)</w:t>
        </w:r>
      </w:hyperlink>
    </w:p>
    <w:p>
      <w:pPr>
        <w:pStyle w:val="Normal"/>
        <w:spacing w:before="57" w:after="57"/>
        <w:jc w:val="left"/>
        <w:rPr>
          <w:rFonts w:ascii="Times New Roman" w:hAnsi="Times New Roman"/>
        </w:rPr>
      </w:pPr>
      <w:r>
        <w:rPr>
          <w:rFonts w:eastAsia="MinionPro-Regular" w:cs="Times New Roman" w:ascii="Times New Roman" w:hAnsi="Times New Roman"/>
          <w:color w:val="FF0000"/>
          <w:sz w:val="24"/>
          <w:szCs w:val="24"/>
        </w:rPr>
        <w:t>V očiach rímskych intelektuálov bolo kresťanstvo ohrozením riadnej zbožnosti (</w:t>
      </w:r>
      <w:r>
        <w:rPr>
          <w:rFonts w:eastAsia="MinionPro-It" w:cs="Times New Roman" w:ascii="Times New Roman" w:hAnsi="Times New Roman"/>
          <w:iCs/>
          <w:color w:val="FF0000"/>
          <w:sz w:val="24"/>
          <w:szCs w:val="24"/>
        </w:rPr>
        <w:t>pietas</w:t>
      </w:r>
      <w:r>
        <w:rPr>
          <w:rFonts w:eastAsia="MinionPro-Regular" w:cs="Times New Roman" w:ascii="Times New Roman" w:hAnsi="Times New Roman"/>
          <w:color w:val="FF0000"/>
          <w:sz w:val="24"/>
          <w:szCs w:val="24"/>
        </w:rPr>
        <w:t>), ktorá spočívala v komplexe záväzkov a povinností nevyhnutných k zachovaniu súladu s bohmi (</w:t>
      </w:r>
      <w:r>
        <w:rPr>
          <w:rFonts w:eastAsia="MinionPro-It" w:cs="Times New Roman" w:ascii="Times New Roman" w:hAnsi="Times New Roman"/>
          <w:iCs/>
          <w:color w:val="FF0000"/>
          <w:sz w:val="24"/>
          <w:szCs w:val="24"/>
        </w:rPr>
        <w:t>pax deorum</w:t>
      </w:r>
      <w:r>
        <w:rPr>
          <w:rFonts w:eastAsia="MinionPro-Regular" w:cs="Times New Roman" w:ascii="Times New Roman" w:hAnsi="Times New Roman"/>
          <w:color w:val="FF0000"/>
          <w:sz w:val="24"/>
          <w:szCs w:val="24"/>
        </w:rPr>
        <w:t>). V tomto zmysle kresťanstvo chápali ako „zlé náboženstvo a označovali ho za „poveru“ (</w:t>
      </w:r>
      <w:r>
        <w:rPr>
          <w:rFonts w:eastAsia="MinionPro-It" w:cs="Times New Roman" w:ascii="Times New Roman" w:hAnsi="Times New Roman"/>
          <w:iCs/>
          <w:color w:val="FF0000"/>
          <w:sz w:val="24"/>
          <w:szCs w:val="24"/>
        </w:rPr>
        <w:t>superstitio</w:t>
      </w:r>
      <w:r>
        <w:rPr>
          <w:rFonts w:eastAsia="MinionPro-Regular" w:cs="Times New Roman" w:ascii="Times New Roman" w:hAnsi="Times New Roman"/>
          <w:color w:val="FF0000"/>
          <w:sz w:val="24"/>
          <w:szCs w:val="24"/>
        </w:rPr>
        <w:t xml:space="preserve">). S týmto označením bola spojená rada pejoratívnych prívlastkov: Tacitus označuje kresťanstvo ako „zhubnú“ poveru, Plinius za „nerozumnú a prehnanú a Suetonius ako „podvratnú a škodlivú“ </w:t>
      </w:r>
    </w:p>
    <w:p>
      <w:pPr>
        <w:pStyle w:val="Normal"/>
        <w:spacing w:before="0" w:after="0"/>
        <w:jc w:val="left"/>
        <w:rPr>
          <w:rFonts w:ascii="Times New Roman" w:hAnsi="Times New Roman"/>
          <w:i/>
          <w:i/>
          <w:iCs/>
          <w:sz w:val="22"/>
          <w:szCs w:val="22"/>
        </w:rPr>
      </w:pPr>
      <w:r>
        <w:rPr>
          <w:rFonts w:eastAsia="MinionPro-Regular" w:cs="Times New Roman" w:ascii="Times New Roman" w:hAnsi="Times New Roman"/>
          <w:i/>
          <w:iCs/>
          <w:color w:val="FF0000"/>
          <w:sz w:val="22"/>
          <w:szCs w:val="22"/>
        </w:rPr>
        <w:t>(Remus: Prenasledovanie s.431-452).</w:t>
      </w:r>
    </w:p>
    <w:p>
      <w:pPr>
        <w:pStyle w:val="Normal"/>
        <w:spacing w:before="0" w:after="0"/>
        <w:jc w:val="left"/>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20</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 xml:space="preserve">Latinské slovo „superstitio“ nadobúdalo v priebehu storočí rôzne významy. Od 1. storočia „superstitio“ znamenalo  činnosť, ktorá stojí mimo oficiálneho náboženstva, to znamená nie len náboženskú prax, ktorá nepatrila k oficiálnemu náboženstvu kvôli svojmu odlišnému pôvodu ale aj nadmerné a neprimerané náboženské presvedčenie. Zo začiatku sa v zákonoch týmto pojmom označujú vodcovia bezduchých ľudí, ktorí majú strach z bohov (zákon cisára Marca Aurelia) alebo ktorí praktizujú náboženstvo, ktoré ľudí desí. </w:t>
      </w:r>
    </w:p>
    <w:p>
      <w:pPr>
        <w:pStyle w:val="Normal"/>
        <w:spacing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left"/>
        <w:rPr>
          <w:rFonts w:ascii="Times New Roman" w:hAnsi="Times New Roman"/>
          <w:b/>
          <w:bCs/>
        </w:rPr>
      </w:pPr>
      <w:r>
        <w:rPr>
          <w:rFonts w:eastAsia="JBaskervilleTxNCE" w:cs="Times New Roman" w:ascii="Times New Roman" w:hAnsi="Times New Roman"/>
          <w:b/>
          <w:bCs/>
          <w:color w:val="FF0000"/>
          <w:sz w:val="24"/>
          <w:szCs w:val="24"/>
        </w:rPr>
        <w:t>21</w:t>
      </w:r>
    </w:p>
    <w:p>
      <w:pPr>
        <w:pStyle w:val="Normal"/>
        <w:spacing w:before="0" w:after="0"/>
        <w:jc w:val="left"/>
        <w:rPr>
          <w:rFonts w:ascii="Times New Roman" w:hAnsi="Times New Roman"/>
        </w:rPr>
      </w:pPr>
      <w:r>
        <w:rPr>
          <w:rFonts w:eastAsia="JBaskervilleTxNCE" w:cs="Times New Roman" w:ascii="Times New Roman" w:hAnsi="Times New Roman"/>
          <w:color w:val="FF0000"/>
          <w:sz w:val="24"/>
          <w:szCs w:val="24"/>
        </w:rPr>
        <w:t>„</w:t>
      </w:r>
      <w:r>
        <w:rPr>
          <w:rFonts w:eastAsia="JBaskervilleTxNCE" w:cs="Times New Roman" w:ascii="Times New Roman" w:hAnsi="Times New Roman"/>
          <w:color w:val="FF0000"/>
          <w:sz w:val="24"/>
          <w:szCs w:val="24"/>
        </w:rPr>
        <w:t>Rimania sú konformisti a v ničom to neplatí tak ako v ich „religio.“ (</w:t>
      </w:r>
      <w:r>
        <w:rPr>
          <w:rFonts w:cs="Times New Roman" w:ascii="Times New Roman" w:hAnsi="Times New Roman"/>
          <w:color w:val="FF0000"/>
          <w:sz w:val="24"/>
          <w:szCs w:val="24"/>
        </w:rPr>
        <w:t>povinnosti voči štátnym bohom a vzdanie úcty cisárovi).</w:t>
      </w:r>
      <w:r>
        <w:rPr>
          <w:rFonts w:eastAsia="JBaskervilleTxNCE" w:cs="Times New Roman" w:ascii="Times New Roman" w:hAnsi="Times New Roman"/>
          <w:color w:val="FF0000"/>
          <w:sz w:val="24"/>
          <w:szCs w:val="24"/>
        </w:rPr>
        <w:t xml:space="preserve"> Ale kresťania robia niečo iné, zdá sa, že sa oddávajú niečomu inému čo Rimania nazývajú „superstitio“ (povere)</w:t>
      </w:r>
      <w:r>
        <w:rPr>
          <w:rFonts w:eastAsia="Times New Roman" w:cs="Times New Roman" w:ascii="Times New Roman" w:hAnsi="Times New Roman"/>
          <w:color w:val="FF0000"/>
          <w:sz w:val="24"/>
          <w:szCs w:val="24"/>
          <w:lang w:eastAsia="sk-SK"/>
        </w:rPr>
        <w:t>... „</w:t>
      </w:r>
      <w:r>
        <w:rPr>
          <w:rFonts w:eastAsia="JBaskervilleTxNCE" w:cs="Times New Roman" w:ascii="Times New Roman" w:hAnsi="Times New Roman"/>
          <w:color w:val="FF0000"/>
          <w:sz w:val="24"/>
          <w:szCs w:val="24"/>
        </w:rPr>
        <w:t>Superstitio“ je pre Rimanov predstava úplného preháňania. Označujú tak ľudí, ktorí sú príliš posadnutí svojimi náboženskými presvedčeniami a obradmi, sú to ľudia, ktorí sa týmto nechali uniesť a presne tak označovali kresťanov“</w:t>
      </w:r>
    </w:p>
    <w:p>
      <w:pPr>
        <w:pStyle w:val="Normal"/>
        <w:spacing w:before="0" w:after="0"/>
        <w:jc w:val="left"/>
        <w:rPr>
          <w:rFonts w:ascii="Times New Roman" w:hAnsi="Times New Roman"/>
          <w:i/>
          <w:i/>
          <w:iCs/>
          <w:sz w:val="22"/>
          <w:szCs w:val="22"/>
        </w:rPr>
      </w:pPr>
      <w:r>
        <w:rPr>
          <w:rFonts w:eastAsia="JBaskervilleTxNCE" w:cs="Times New Roman" w:ascii="Times New Roman" w:hAnsi="Times New Roman"/>
          <w:i/>
          <w:iCs/>
          <w:color w:val="FF0000"/>
          <w:sz w:val="22"/>
          <w:szCs w:val="22"/>
        </w:rPr>
        <w:t>(Scott: Ježišov vzostup k moci – mučeníci).</w:t>
      </w:r>
    </w:p>
    <w:p>
      <w:pPr>
        <w:pStyle w:val="Normal"/>
        <w:spacing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left"/>
        <w:rPr>
          <w:rFonts w:ascii="Times New Roman" w:hAnsi="Times New Roman"/>
          <w:b/>
          <w:bCs/>
        </w:rPr>
      </w:pPr>
      <w:r>
        <w:rPr>
          <w:rFonts w:eastAsia="Times New Roman" w:cs="Times New Roman" w:ascii="Times New Roman" w:hAnsi="Times New Roman"/>
          <w:b/>
          <w:bCs/>
          <w:sz w:val="24"/>
          <w:szCs w:val="24"/>
          <w:lang w:eastAsia="sk-SK"/>
        </w:rPr>
        <w:t>22</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 xml:space="preserve">Starostlivé dodržiavanie náboženských úkonov zaisťuje </w:t>
      </w:r>
      <w:r>
        <w:rPr>
          <w:rFonts w:eastAsia="Times New Roman" w:cs="Times New Roman" w:ascii="Times New Roman" w:hAnsi="Times New Roman"/>
          <w:bCs/>
          <w:sz w:val="24"/>
          <w:szCs w:val="24"/>
        </w:rPr>
        <w:t xml:space="preserve">prežitie každého jedinca a celej ríše. Ak sa nebudú dodržiavať starodávne rituály a uctievať božstvá otcov ktoré Rimanom odovzdali ich predkovia, naruší sa súhra bohov </w:t>
      </w:r>
      <w:r>
        <w:rPr>
          <w:rFonts w:eastAsia="Times New Roman" w:cs="Times New Roman" w:ascii="Times New Roman" w:hAnsi="Times New Roman"/>
          <w:bCs/>
          <w:sz w:val="24"/>
          <w:szCs w:val="24"/>
          <w:shd w:fill="auto" w:val="clear"/>
        </w:rPr>
        <w:t>s</w:t>
      </w:r>
      <w:r>
        <w:rPr>
          <w:rFonts w:eastAsia="Times New Roman" w:cs="Times New Roman" w:ascii="Times New Roman" w:hAnsi="Times New Roman"/>
          <w:bCs/>
          <w:sz w:val="24"/>
          <w:szCs w:val="24"/>
        </w:rPr>
        <w:t xml:space="preserve"> ľudom ríše, sloboda bude ohrozená a skaza každého jedinca nevyhnutná. Iba starostlivým dodržiavaním náboženských úkonov sa v rímskej spoločnosti zaisťuje pokoj a prosperita. Kedže kresťania sa odmietali zúčastňovať pohanských obradov, Rimania ich začali nazývať </w:t>
      </w:r>
      <w:r>
        <w:rPr>
          <w:rFonts w:cs="Times New Roman" w:ascii="Times New Roman" w:hAnsi="Times New Roman"/>
          <w:sz w:val="24"/>
          <w:szCs w:val="24"/>
        </w:rPr>
        <w:t>„ateisti“</w:t>
      </w: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lang w:eastAsia="sk-SK"/>
        </w:rPr>
        <w:t xml:space="preserve">„Kresťanský „ateizmus“ bol v rímskej spoločnosti vnímaný nielen ako neúcta k rímskym bohom ale doslova ako prejav nepriateľstva voči štátu,  jeho inštitúciám, spoločnosti, kultúre a ľudu, čiže doslova zločin. </w:t>
      </w:r>
      <w:r>
        <w:rPr>
          <w:rFonts w:cs="Times New Roman" w:ascii="Times New Roman" w:hAnsi="Times New Roman"/>
          <w:sz w:val="24"/>
          <w:szCs w:val="24"/>
        </w:rPr>
        <w:t xml:space="preserve">Právnik, historik a najvýznamnejší kresťanský spisovateľ píšuci latinsky z prelomu druhého a tretieho storočia - Tertullianus, sa vo svojich dielach snažil „rímskemu svetu“ ukázať kresťanstvo, ako náboženstvo, ktoré je autonómne a odlišné od judaizmu, i ked z neho vychádza. Zároveň sa snaží svojim čitateľom dokázať, že kresťania boli v Rímskej ríši náboženstvom nezákonným.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Default"/>
        <w:spacing w:lineRule="auto" w:line="276"/>
        <w:jc w:val="left"/>
        <w:rPr>
          <w:rFonts w:ascii="Times New Roman" w:hAnsi="Times New Roman"/>
          <w:b/>
          <w:bCs/>
        </w:rPr>
      </w:pPr>
      <w:r>
        <w:rPr>
          <w:b/>
          <w:bCs/>
          <w:color w:val="FF0000"/>
        </w:rPr>
        <w:t>23</w:t>
      </w:r>
    </w:p>
    <w:p>
      <w:pPr>
        <w:pStyle w:val="Default"/>
        <w:spacing w:lineRule="auto" w:line="276"/>
        <w:jc w:val="left"/>
        <w:rPr>
          <w:rFonts w:ascii="Times New Roman" w:hAnsi="Times New Roman"/>
        </w:rPr>
      </w:pPr>
      <w:r>
        <w:rPr>
          <w:color w:val="FF0000"/>
        </w:rPr>
        <w:t>„</w:t>
      </w:r>
      <w:r>
        <w:rPr>
          <w:color w:val="FF0000"/>
        </w:rPr>
        <w:t>Uviedli sme, že táto sekta (kresťania) sa opiera o veľmi staré židovské ustanovenie. Skoro všetci vedia, že vznikla v dobe (cisára) Tiberia, a my (kresťania) to tiež priznávame. Možno ako sektu ju môžeme posudzovať podľa toho, že akoby v tieni veľmi významného (judaizmu) ukrýva v sebe niečo čo jej je vlastné... Zo všetkých strán je napádaná naša (kresťanská) pravda, autorita zákonov (impéria) je proti nej. Nie je možné sa odvolať na zákony a či chceš alebo nechceš, poslušnosť voči zákonom musí mať prednosť pred ňou lebo bez akýchkoľvek ohľadov bolo nariadené: „Nie je dovolené byť kresťanom“!... „Pýtajte sa písomných záznamov a uvidíte tam, že proti tejto vznikajúcej sekte (kresťanstvu) prvý zúril mečom zvlášť v Ríme Nero. Celé svoje úsilie zasvätil aby nás (kresťanov) zničil a my sa tým chválime. Kto ich totiž pozná (kresťanov), môže vedieť, že Nero odsúdil akési veľké dobro“</w:t>
      </w:r>
    </w:p>
    <w:p>
      <w:pPr>
        <w:pStyle w:val="Default"/>
        <w:spacing w:lineRule="auto" w:line="276"/>
        <w:jc w:val="left"/>
        <w:rPr>
          <w:rFonts w:ascii="Times New Roman" w:hAnsi="Times New Roman"/>
          <w:i/>
          <w:i/>
          <w:iCs/>
          <w:sz w:val="22"/>
          <w:szCs w:val="22"/>
        </w:rPr>
      </w:pPr>
      <w:r>
        <w:rPr>
          <w:i/>
          <w:iCs/>
          <w:color w:val="FF0000"/>
          <w:sz w:val="22"/>
          <w:szCs w:val="22"/>
        </w:rPr>
        <w:t>(Tertullianus: Obrana kresťanov 4,5,21).</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24</w:t>
      </w:r>
    </w:p>
    <w:p>
      <w:pPr>
        <w:pStyle w:val="Normal"/>
        <w:spacing w:before="0" w:after="0"/>
        <w:jc w:val="left"/>
        <w:rPr/>
      </w:pPr>
      <w:r>
        <w:rPr>
          <w:rFonts w:cs="Times New Roman" w:ascii="Times New Roman" w:hAnsi="Times New Roman"/>
          <w:sz w:val="24"/>
          <w:szCs w:val="24"/>
        </w:rPr>
        <w:t xml:space="preserve">Tretullianus spojil vzostup kresťanstva s rozvojom rímskej ríše a tvrdil, že iba zlý Nero a Domitianus prenasledovali kresťanov. Tretullianus aby stigmatizoval prenasledovanie kresťanov, vytvoril myšlienkovú frázu „institutum Neronianum“ kde sa snaží ukázať, že už za vlády cisára Nerona existovali zákony ako právny podklad proti kresťanom. Tieto jeho tvrdenia však nepotvrdil žiadny dobový historik a nenachádzajú sa v žiadnom antickom texte či inom starobylom zdroji. V Ríme nikdy neexistoval nijaký proces udeľovania „licencie“ cudzím náboženstvám ani právna kategória či </w:t>
      </w:r>
      <w:r>
        <w:rPr>
          <w:rStyle w:val="notranslate"/>
          <w:rFonts w:cs="Times New Roman" w:ascii="Times New Roman" w:hAnsi="Times New Roman"/>
          <w:sz w:val="24"/>
          <w:szCs w:val="24"/>
        </w:rPr>
        <w:t xml:space="preserve">právny kódex týkajúci sa cudzích kultov. Vedecké výskumy potvrdili, že v trestnom práve ani v osobitnej legislatíve v prvých dvoch storočiach nie je žiadny zákon alebo výnos, podľa ktorého by mohli byť kresťania stíhaní. </w:t>
      </w:r>
      <w:r>
        <w:rPr>
          <w:rFonts w:eastAsia="Times New Roman" w:cs="Times New Roman" w:ascii="Times New Roman" w:hAnsi="Times New Roman"/>
          <w:sz w:val="24"/>
          <w:szCs w:val="24"/>
        </w:rPr>
        <w:t>Pravým dôvodom, prečo boli kresťania súdení a v niektorých prípadov posielaní na smrť, nebolo ich náboženstvo ale ich protivenie sa úradnej vôli (contumatia) a páchania tých najhorších zločinov aké si vedel antický človek predstaviť- kanibalizmu- pojedania detí či incestu a to dokonca i s vlastnou matkou.</w:t>
      </w:r>
    </w:p>
    <w:p>
      <w:pPr>
        <w:pStyle w:val="Default"/>
        <w:spacing w:lineRule="auto" w:line="276"/>
        <w:jc w:val="left"/>
        <w:rPr>
          <w:rFonts w:ascii="Times New Roman" w:hAnsi="Times New Roman" w:eastAsia="Times New Roman"/>
        </w:rPr>
      </w:pPr>
      <w:r>
        <w:rPr>
          <w:rFonts w:eastAsia="Times New Roman"/>
        </w:rPr>
      </w:r>
    </w:p>
    <w:p>
      <w:pPr>
        <w:pStyle w:val="Default"/>
        <w:spacing w:lineRule="auto" w:line="276"/>
        <w:jc w:val="left"/>
        <w:rPr>
          <w:rFonts w:ascii="Times New Roman" w:hAnsi="Times New Roman"/>
          <w:b/>
          <w:bCs/>
        </w:rPr>
      </w:pPr>
      <w:r>
        <w:rPr>
          <w:rFonts w:eastAsia="Times New Roman"/>
          <w:b/>
          <w:bCs/>
          <w:color w:val="FF0000"/>
        </w:rPr>
        <w:t>25</w:t>
      </w:r>
    </w:p>
    <w:p>
      <w:pPr>
        <w:pStyle w:val="NormalWeb"/>
        <w:spacing w:lineRule="auto" w:line="276" w:beforeAutospacing="0" w:before="0" w:afterAutospacing="0" w:after="0"/>
        <w:jc w:val="left"/>
        <w:rPr>
          <w:rFonts w:ascii="Times New Roman" w:hAnsi="Times New Roman"/>
        </w:rPr>
      </w:pPr>
      <w:r>
        <w:rPr>
          <w:color w:val="FF0000"/>
        </w:rPr>
        <w:t>„</w:t>
      </w:r>
      <w:r>
        <w:rPr>
          <w:color w:val="FF0000"/>
        </w:rPr>
        <w:t>niektorí pohanskí otroci, ktorí boli u kresťanov, boli tiež zatknutí, pretože guvernér verejne nariadil, aby boli všetci vyhľadaní. Títo, údajne na podnet Satana a zo strachu z mučenia, keď videli, čo sa deje s mučeníkmi na príkaz vojakov, šírili lži o kresťanských orgiách: thyetických hostinách (kanibalizme), oidipovských súložiach (inceste) a ešte iných ohavnostiach, ktoré nesmiem ani vysloviť, ani pomyslieť, ani nemôžem veriť, že by sa niečo takého stalo... Keď sa táto fáma rozšírila, všetci začali proti kresťanom besnieť ako zvieratá, takže aj tí, ktorí sa kvôli rodinným väzbám správali umiernene, sa teraz strašne rozzúrili a vyhrážali sa im.“</w:t>
      </w:r>
    </w:p>
    <w:p>
      <w:pPr>
        <w:pStyle w:val="NormalWeb"/>
        <w:spacing w:lineRule="auto" w:line="276" w:beforeAutospacing="0" w:before="0" w:afterAutospacing="0" w:after="0"/>
        <w:jc w:val="left"/>
        <w:rPr>
          <w:rFonts w:ascii="Times New Roman" w:hAnsi="Times New Roman"/>
          <w:i/>
          <w:i/>
          <w:iCs/>
          <w:sz w:val="22"/>
          <w:szCs w:val="22"/>
        </w:rPr>
      </w:pPr>
      <w:r>
        <w:rPr>
          <w:i/>
          <w:iCs/>
          <w:color w:val="FF0000"/>
          <w:sz w:val="22"/>
          <w:szCs w:val="22"/>
        </w:rPr>
        <w:t>(Eusebius: Cirkevné dejiny 5/1)</w:t>
      </w:r>
    </w:p>
    <w:p>
      <w:pPr>
        <w:pStyle w:val="NormalWeb"/>
        <w:spacing w:lineRule="auto" w:line="276" w:beforeAutospacing="0" w:before="57" w:afterAutospacing="0" w:after="57"/>
        <w:jc w:val="left"/>
        <w:rPr>
          <w:rFonts w:ascii="Times New Roman" w:hAnsi="Times New Roman"/>
        </w:rPr>
      </w:pPr>
      <w:r>
        <w:rPr>
          <w:color w:val="FF0000"/>
        </w:rPr>
        <w:t>„</w:t>
      </w:r>
      <w:r>
        <w:rPr>
          <w:color w:val="FF0000"/>
        </w:rPr>
        <w:t>Keď kresťanstvo začalo po prvýkrát kázať, Židia začali do celého sveta rozširovať falošné správy, napríklad že kresťania obetovali deti a jedli ich mäso. Vyznávači kresťanstva, ktorí sa chceli zúčastniť „diela temnoty“ na svojich stretnutiach zhasínali svetlá a každý z nich mohol mať sexuálny styk s akoukoľvek ženou, ktorú stretol.“</w:t>
      </w:r>
    </w:p>
    <w:p>
      <w:pPr>
        <w:pStyle w:val="NormalWeb"/>
        <w:spacing w:lineRule="auto" w:line="276" w:beforeAutospacing="0" w:before="0" w:afterAutospacing="0" w:after="0"/>
        <w:jc w:val="left"/>
        <w:rPr>
          <w:rFonts w:ascii="Times New Roman" w:hAnsi="Times New Roman"/>
        </w:rPr>
      </w:pPr>
      <w:r>
        <w:rPr>
          <w:i/>
          <w:iCs/>
          <w:color w:val="FF0000"/>
          <w:sz w:val="22"/>
          <w:szCs w:val="22"/>
        </w:rPr>
        <w:t>(Origenes: Kontra Celsus 6/27)</w:t>
      </w:r>
      <w:r>
        <w:rPr>
          <w:color w:val="FF0000"/>
        </w:rPr>
        <w:t xml:space="preserve"> </w:t>
      </w:r>
    </w:p>
    <w:p>
      <w:pPr>
        <w:pStyle w:val="NormalWeb"/>
        <w:spacing w:lineRule="auto" w:line="276" w:beforeAutospacing="0" w:before="0" w:afterAutospacing="0" w:after="0"/>
        <w:jc w:val="left"/>
        <w:rPr>
          <w:rFonts w:ascii="Times New Roman" w:hAnsi="Times New Roman"/>
        </w:rPr>
      </w:pPr>
      <w:r>
        <w:rPr/>
      </w:r>
    </w:p>
    <w:p>
      <w:pPr>
        <w:pStyle w:val="NormalWeb"/>
        <w:spacing w:lineRule="auto" w:line="276" w:beforeAutospacing="0" w:before="0" w:afterAutospacing="0" w:after="0"/>
        <w:jc w:val="left"/>
        <w:rPr>
          <w:rFonts w:ascii="Times New Roman" w:hAnsi="Times New Roman"/>
          <w:b/>
          <w:bCs/>
        </w:rPr>
      </w:pPr>
      <w:r>
        <w:rPr>
          <w:b/>
          <w:bCs/>
        </w:rPr>
        <w:t>26</w:t>
      </w:r>
    </w:p>
    <w:p>
      <w:pPr>
        <w:pStyle w:val="NormalWeb"/>
        <w:spacing w:lineRule="auto" w:line="276" w:beforeAutospacing="0" w:before="0" w:afterAutospacing="0" w:after="0"/>
        <w:jc w:val="left"/>
        <w:rPr>
          <w:rFonts w:ascii="Times New Roman" w:hAnsi="Times New Roman"/>
        </w:rPr>
      </w:pPr>
      <w:r>
        <w:rPr/>
        <w:t xml:space="preserve">Kresťania boli obviňovaní i ako príčina prírodných katastrof akými boli zemetrasenia, epidémie a hladomory, nakoľko sa odmietali zúčastňovať verejných náboženských procesií, ktorých účelom bolo udobriť si Bohov a nastoliť symbiózu v spoločnosti. Rímsky štát na svojom území vo všeobecnosti menšinové či náboženské skupiny nediskriminoval. Akonáhle sa ich členovia stali rímskymi obyvateľmi, boli integrovaní do právnej a sociálnej štruktúry rímskeho práva a spoločnosti. Rímskym zvykom bolo umožňovať alebo dokonca podporovať obyvateľov provincií a cudzie komunity v Ríme, aby zachovávali náboženstvo svojich predkov, pokiaľ konkrétne praktiky neboli považované za rušivé alebo podvratné. </w:t>
      </w:r>
    </w:p>
    <w:p>
      <w:pPr>
        <w:pStyle w:val="NormalWeb"/>
        <w:spacing w:lineRule="auto" w:line="276" w:beforeAutospacing="0" w:before="0" w:afterAutospacing="0" w:after="0"/>
        <w:jc w:val="left"/>
        <w:rPr>
          <w:rFonts w:ascii="Times New Roman" w:hAnsi="Times New Roman"/>
        </w:rPr>
      </w:pPr>
      <w:r>
        <w:rPr/>
        <w:t>Na začiatku druhého storočia menoval cisár Trajanus správcom maloázijskej provincie Bithynia, Plinia Mladšieho, aby stabilizoval pomery v tejto nepokojnej časti ríše. Okrem iných mrzutostí spojených s touto funkciou sa musel Plinius zaoberať nečakaným problémom s akým sa vo svojej úradníckej kariére ešte nestretol. Narastajúci počet kresťanov v tejto provincii, ich podivná uzavretosť a hrôzostrašné povesti o ich tajomných obradoch vzbudzovali nenávisť ostatných obyvateľov, ktorí začali hromadne zamestnávať jeho súdnu kanceláriu sťažnosťami na túto podivnú sektu a dožadovali sa ich potrestania. Plinius ako najvyšší reprezentant rímskej moci sa musel zúčastniť súdnych procesov s obvinenými kresťanmi a osobne potvrdiť vynesený rozsudok. Ked ich počet prerástol únosnú mieru rozhodol sa Plinius roku 112 napísať list samotnému cisárovi Trajanovi, v ktorom mu opísal svoje konanie pri súdnom vyšetrovaní a zároveň ho žiadal o radu ako v takýchto prípadoch postupovať dalej.</w:t>
      </w:r>
    </w:p>
    <w:p>
      <w:pPr>
        <w:pStyle w:val="NormalWeb"/>
        <w:spacing w:lineRule="auto" w:line="276" w:beforeAutospacing="0" w:before="0" w:afterAutospacing="0" w:after="0"/>
        <w:jc w:val="left"/>
        <w:rPr>
          <w:rFonts w:ascii="Times New Roman" w:hAnsi="Times New Roman"/>
        </w:rPr>
      </w:pPr>
      <w:r>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27</w:t>
      </w:r>
    </w:p>
    <w:p>
      <w:pPr>
        <w:pStyle w:val="Normal"/>
        <w:spacing w:before="0" w:after="0"/>
        <w:jc w:val="left"/>
        <w:rPr>
          <w:rFonts w:ascii="Times New Roman" w:hAnsi="Times New Roman"/>
        </w:rPr>
      </w:pPr>
      <w:r>
        <w:rPr>
          <w:rFonts w:cs="Times New Roman" w:ascii="Times New Roman" w:hAnsi="Times New Roman"/>
          <w:color w:val="FF0000"/>
          <w:sz w:val="24"/>
          <w:szCs w:val="24"/>
        </w:rPr>
        <w:t>Odpoveď cisára Trajana na list Guvernéra Plinia Mladšieho:</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Pri súdnom vyšetrovaní ľudí, ktorí boli udaní ako kresťania si milý Plinius, jednal správne. Pretože nie je možné ustanoviť pre tieto prípady jedno všeobecné platné pravidlo, ktoré by slúžilo ako pevná norma. Nie je potrebné ich vyhľadávať, ale ak sú udaní a usvedčení, treba ich potrestať. Tí, ktorí však vyhlásia, že nie sú kresťania, a dokážu to skutkom, čiže verejným vzývaním našich bohov- nech sa im dostane milosť za pokánie, i keď boli predtým v podozrení. Anonymnému udaniu, ktoré ti bolo predložené sa nesmie prikladať žiadny význam. Jednak by sme tým dávali veľmi zlý príklad, jednak to nie je dôstojné našej dobe“</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(Plinius Mladší: list 10/97).</w:t>
      </w:r>
    </w:p>
    <w:p>
      <w:pPr>
        <w:pStyle w:val="Normal"/>
        <w:spacing w:before="57" w:after="57"/>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Cisár postup svojho správcu v zásade schvaľuje. Zároveň ale trochu tlmí jeho úradnícku horlivosť a upozorňuje, že obecný legislatívny návod pre podobné prípady nie je možné stanoviť, a preto je na mieste určitá opatrnosť“</w:t>
      </w:r>
    </w:p>
    <w:p>
      <w:pPr>
        <w:pStyle w:val="Normal"/>
        <w:spacing w:before="0" w:after="0"/>
        <w:jc w:val="left"/>
        <w:rPr>
          <w:rFonts w:ascii="Times New Roman" w:hAnsi="Times New Roman"/>
        </w:rPr>
      </w:pPr>
      <w:r>
        <w:rPr>
          <w:rFonts w:eastAsia="CenturionOld-Italic" w:cs="Times New Roman" w:ascii="Times New Roman" w:hAnsi="Times New Roman"/>
          <w:i/>
          <w:iCs/>
          <w:color w:val="FF0000"/>
          <w:sz w:val="22"/>
          <w:szCs w:val="22"/>
        </w:rPr>
        <w:t>(Šubrt: Príbeh ranných kresťanov s.16,17).</w:t>
      </w:r>
      <w:r>
        <w:rPr>
          <w:rFonts w:eastAsia="CenturionOld-Italic" w:cs="Times New Roman" w:ascii="Times New Roman" w:hAnsi="Times New Roman"/>
          <w:iCs/>
          <w:color w:val="FF0000"/>
          <w:sz w:val="24"/>
          <w:szCs w:val="24"/>
        </w:rPr>
        <w:t xml:space="preserve"> </w:t>
      </w:r>
      <w:r>
        <w:rPr>
          <w:rFonts w:eastAsia="CenturionOld-Normal" w:cs="Times New Roman" w:ascii="Times New Roman" w:hAnsi="Times New Roman"/>
          <w:color w:val="FF0000"/>
          <w:sz w:val="24"/>
          <w:szCs w:val="24"/>
        </w:rPr>
        <w:t xml:space="preserve">   </w:t>
      </w:r>
      <w:r>
        <w:rPr>
          <w:rFonts w:cs="Times New Roman" w:ascii="Times New Roman" w:hAnsi="Times New Roman"/>
          <w:color w:val="FF0000"/>
          <w:sz w:val="24"/>
          <w:szCs w:val="24"/>
        </w:rPr>
        <w:t xml:space="preserve">   </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Web"/>
        <w:spacing w:lineRule="auto" w:line="276" w:beforeAutospacing="0" w:before="0" w:afterAutospacing="0" w:after="0"/>
        <w:jc w:val="left"/>
        <w:rPr>
          <w:rFonts w:ascii="Times New Roman" w:hAnsi="Times New Roman"/>
          <w:b/>
          <w:bCs/>
        </w:rPr>
      </w:pPr>
      <w:r>
        <w:rPr>
          <w:b/>
          <w:bCs/>
        </w:rPr>
        <w:t>28</w:t>
      </w:r>
    </w:p>
    <w:p>
      <w:pPr>
        <w:pStyle w:val="Normal"/>
        <w:spacing w:before="0" w:after="0"/>
        <w:jc w:val="left"/>
        <w:rPr>
          <w:rFonts w:ascii="Times New Roman" w:hAnsi="Times New Roman"/>
        </w:rPr>
      </w:pPr>
      <w:r>
        <w:rPr>
          <w:rFonts w:cs="Times New Roman" w:ascii="Times New Roman" w:hAnsi="Times New Roman"/>
          <w:sz w:val="24"/>
          <w:szCs w:val="24"/>
        </w:rPr>
        <w:t>Cisár Trajanus v súdnych procesoch s kresťanmi nechce vyhrocovať situáciu a zmierňuje ich prísnosť, zároveň prejavuje i nechuť k prehnanej tvrdosti. Cisár od svojho guvernéra žiada aby dochádzalo k riadnym procesom a za zločin bolo považované iba porušenie zákona. O treste smrti pre kresťanov nepíše nič. Naopak, kresťanstvo ako jediné náboženstvo v ríši dostalo od Trajana výnimku, že: „nemajú byť vyhľadávaní“, ktorú potvrdil i cisár Hadrian, Antonius Pius a Marcus Aurelius, ktorý ju navyše rozšíril: „kresťania nemajú byť obťažovaní ich vyhľadávaním. Kresťanstvo nie je trestné a takto obžalovaný človek má byť zbavený žaloby a žalobca má byť potrestaný“. Listy cisárov guvernérom provincií neboli iba odporučením pre ich činnosť ale stávali sa zákonom pre celé impérium. Skutočnosť, že určité náboženstvo bolo v ríši legálne, neznamenalo, že bolo chránené. Každý vyznávač nerímskeho náboženstva musel prejaviť lojalitu k štátu uctením si cisára a rímskych božstiev. Keďže antické náboženstvo tvorilo jeden z dôležitých prvkov rímskeho práva, nezúčastňovať sa cisárskeho kultu a obety bohom sa rovnalo vlastizrade. V takomto prípade mohol súd nad obžalovaným vyhlásiť tzv. „Damnatio ad bestias“ čo bola forma rímskeho trestu smrti, pri ktorom odsúdeného roztrhali v aréne divé zvieratá alebo iné veľké šelmy.</w:t>
      </w:r>
    </w:p>
    <w:p>
      <w:pPr>
        <w:pStyle w:val="Normal"/>
        <w:spacing w:before="0" w:after="0"/>
        <w:jc w:val="left"/>
        <w:rPr>
          <w:rFonts w:ascii="Times New Roman" w:hAnsi="Times New Roman"/>
        </w:rPr>
      </w:pPr>
      <w:r>
        <w:rPr>
          <w:rFonts w:ascii="Times New Roman" w:hAnsi="Times New Roman"/>
        </w:rPr>
      </w:r>
    </w:p>
    <w:p>
      <w:pPr>
        <w:pStyle w:val="Default"/>
        <w:spacing w:lineRule="auto" w:line="276"/>
        <w:jc w:val="left"/>
        <w:rPr>
          <w:rFonts w:ascii="Times New Roman" w:hAnsi="Times New Roman"/>
          <w:b/>
          <w:bCs/>
        </w:rPr>
      </w:pPr>
      <w:r>
        <w:rPr>
          <w:rFonts w:eastAsia="Times New Roman"/>
          <w:b/>
          <w:bCs/>
          <w:color w:val="FF0000"/>
        </w:rPr>
        <w:t>29</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Rímske právo dokázalo byť brutálne a vždy bolo neoblomné, avšak stále zasahovalo len do pomerne obmedzenej oblasti ľudského správania. Mnohé sféry ekonomických a kultúrnych aktivít ležali mimo dosahu jeho pôsobnosti. Navyše platilo, že aj tam, kde zákon niečo predpisoval, nebol vždy a za všetkých okolností dôsledný. Kým nedochádzalo k jeho výraznejšiemu porušovaniu a kým sa neprejavovali vonkajšie príznaky nepokoja- hlasnej sťažnosti, porušovanie všeobecného mieru alebo nepokoje- malo rímske právo sklon nezasahovať. Potom vyslalo varovný signál; a pokiaľ ten zostal bez odozvy, ostro zakročilo a opäť nastolilo pokoj a poriadok- a potom zase zaspalo. Pod vládou Ríma mohol rozumný a obozretný človek bez ohľadu na to, aké protikladné boli jeho názory, nielen prežiť, ale mohol aj prospievať a svoje myšlienky mohol ďalej rozširovať. To bol tiež jeden nesmierne významný dôvod, prečo bol Rím schopný sa rozširovať a zachrániť sa pred zabudnutím.“</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s.14,15).</w:t>
      </w:r>
    </w:p>
    <w:p>
      <w:pPr>
        <w:pStyle w:val="Default"/>
        <w:spacing w:lineRule="auto" w:line="276"/>
        <w:jc w:val="left"/>
        <w:rPr>
          <w:rFonts w:ascii="Times New Roman" w:hAnsi="Times New Roman" w:eastAsia="Times New Roman"/>
        </w:rPr>
      </w:pPr>
      <w:r>
        <w:rPr>
          <w:rFonts w:eastAsia="Times New Roman"/>
        </w:rPr>
      </w:r>
    </w:p>
    <w:p>
      <w:pPr>
        <w:pStyle w:val="Normal"/>
        <w:spacing w:before="0" w:after="0"/>
        <w:jc w:val="left"/>
        <w:rPr>
          <w:rFonts w:ascii="Times New Roman" w:hAnsi="Times New Roman"/>
          <w:b/>
          <w:bCs/>
        </w:rPr>
      </w:pPr>
      <w:r>
        <w:rPr>
          <w:rFonts w:cs="Times New Roman" w:ascii="Times New Roman" w:hAnsi="Times New Roman"/>
          <w:b/>
          <w:bCs/>
          <w:sz w:val="24"/>
          <w:szCs w:val="24"/>
        </w:rPr>
        <w:t>30</w:t>
      </w:r>
    </w:p>
    <w:p>
      <w:pPr>
        <w:pStyle w:val="Default"/>
        <w:spacing w:lineRule="auto" w:line="276"/>
        <w:jc w:val="left"/>
        <w:rPr>
          <w:rFonts w:ascii="Times New Roman" w:hAnsi="Times New Roman"/>
        </w:rPr>
      </w:pPr>
      <w:r>
        <w:rPr>
          <w:rFonts w:eastAsia="Times New Roman"/>
          <w:bCs/>
        </w:rPr>
        <w:t xml:space="preserve">Rímske súdy nestíhali kresťanov pre ich vieru v Krista, ale pre ich okázalý a štítivý odpor uctiť si štátnych Bohov ríše a jej panovníka. Pre Rimanov bolo takéto správanie sa neprijateľné a spojené s opovrhovaním štátu v ktorom žijú, prosperujú a ktorý ich chráni. Kresťania sa stali v očiach Rimanov nespoľahlivým až destabilizujúcim prvkom, ktorý môže nielen narušiť ich hodnoty ale rozvrátiť celý štát.  </w:t>
      </w:r>
    </w:p>
    <w:p>
      <w:pPr>
        <w:pStyle w:val="Default"/>
        <w:spacing w:lineRule="auto" w:line="276"/>
        <w:jc w:val="left"/>
        <w:rPr>
          <w:rFonts w:ascii="Times New Roman" w:hAnsi="Times New Roman"/>
        </w:rPr>
      </w:pPr>
      <w:r>
        <w:rPr>
          <w:rFonts w:eastAsia="Times New Roman"/>
          <w:bCs/>
        </w:rPr>
        <w:t xml:space="preserve">Procesy s kresťanmi </w:t>
      </w:r>
      <w:r>
        <w:rPr/>
        <w:t>boli vykonávané spôsobom, ked súdy aplikovali normy trestného práva subsumovaním, čiže zahŕňaním určitého konania pod skutkové podstaty iných trestných činov. Kresťania mohli byť odsúdení nielen za „Bohorúhačstvo“ ked odopreli obetu štátnym Bohom ale i „Svätokrádež“, ked ničili alebo zneuctili ich sochy a obrazy. Ďalej mohli byť súdení za „Bezbožníctvo“ pri verejnom slovnom urážaní štátneho náboženstva,  „čarodejníctvo“, ked kresťanskí kňazi poskytovali sviatosti spojené s obradnými slovami pri vykonávaní bohoslužby či po</w:t>
      </w:r>
      <w:r>
        <w:rPr>
          <w:shd w:fill="auto" w:val="clear"/>
        </w:rPr>
        <w:t>mazania chorým. Mohli ich obžalovať z „Incestu“, na spoločných večeriach nazývanými stretnutia lásky sa kresťania nazývali bratmi a sestrami a dávali si medzi sebou bratský bozk pokoja. „Urážkou majestátu“ – keď odmietali vzdať úctu cisárovi alebo ho verejne urážali či nadávali mu. „Nepovolenému združovaniu“ - kresťania ako spolok si totiž nevyžiadali od senátu povolenie pre svoju činnosť - napríklad pre stretávanie sa v noci na cintorínoch. Iné spolky ako hasiči či epikurejský krúžok si svoju povinnosť plnili. Kresťania boli obviňovaní z „Vraždy“ na základe podozrenia, že prijímajú „Telo a Krv Pána“. Ďalej to mohli byť obvinenia z „Rozvracania štátu, Vlastizrady, P</w:t>
      </w:r>
      <w:r>
        <w:rPr>
          <w:rFonts w:eastAsia="Times New Roman"/>
          <w:shd w:fill="auto" w:val="clear"/>
          <w:lang w:eastAsia="sk-SK"/>
        </w:rPr>
        <w:t>odnecovania nepokojov a Nepriateľstva voči ľudskému rodu“.</w:t>
      </w:r>
    </w:p>
    <w:p>
      <w:pPr>
        <w:pStyle w:val="Default"/>
        <w:spacing w:lineRule="auto" w:line="276"/>
        <w:jc w:val="left"/>
        <w:rPr>
          <w:rFonts w:ascii="Times New Roman" w:hAnsi="Times New Roman" w:eastAsia="Times New Roman"/>
          <w:color w:val="FF0000"/>
          <w:lang w:eastAsia="sk-SK"/>
        </w:rPr>
      </w:pPr>
      <w:r>
        <w:rPr>
          <w:rFonts w:eastAsia="Times New Roman"/>
          <w:color w:val="FF0000"/>
          <w:lang w:eastAsia="sk-SK"/>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31</w:t>
      </w:r>
    </w:p>
    <w:p>
      <w:pPr>
        <w:pStyle w:val="Normal"/>
        <w:spacing w:before="0" w:after="0"/>
        <w:jc w:val="left"/>
        <w:rPr>
          <w:rFonts w:ascii="Times New Roman" w:hAnsi="Times New Roman"/>
        </w:rPr>
      </w:pPr>
      <w:r>
        <w:rPr>
          <w:rFonts w:cs="Times New Roman" w:ascii="Times New Roman" w:hAnsi="Times New Roman"/>
          <w:color w:val="FF0000"/>
          <w:sz w:val="24"/>
          <w:szCs w:val="24"/>
        </w:rPr>
        <w:t>Kým v prvej polovici prvého storočia bol v Ríme ,,zločin proti náboženstvu“ ešte neznámym pojmom, keďže platilo, že ,,urážky bohov treba ponechať na starosť bohom“, neskôr sa veci zmenili tým, že sa začali uplatňovať zákony reagujúce na morálne a politické obvinenia kresťanov. Spočiatku ešte platili staršie rímske zákony, ktoré sa vzťahovali na obvinenie z veštenia a čarodejníctva. Neskôr sa však stále častejšie využívali dva závažné zákony, a to „zločin proti rímskej viere“ a „urážka majestátu“. Prvý zákon usvedčoval a stíhal kresťanov z pohŕdania štátnymi božstvami a z prejavov bezbožnosti. Druhý zákon sa zameriaval na odhaľovanie neúcty voči osobe cisára, keď kresťania odmietali obetovať pred jeho obrazom alebo sochou. Za „urážku bohov“ a „urážku cisárskeho majestátu“ bývala poprava ukrižovaním, alebo predhodením divej zveri.</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(Gažík: K vývoju politicko- právneho prístupu cisárskych úradov s.141)</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32</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 xml:space="preserve">Kresťanské </w:t>
      </w:r>
      <w:r>
        <w:rPr>
          <w:rFonts w:cs="Times New Roman" w:ascii="Times New Roman" w:hAnsi="Times New Roman"/>
          <w:sz w:val="24"/>
          <w:szCs w:val="24"/>
        </w:rPr>
        <w:t xml:space="preserve">komunity sa zámerne stránili bežných, ale pre nich už neprijateľných zvyklostí akými bolo napr. slávenie pohanských sviatkov. Členovia cirkvi to považovali za modloslužbu, preto nechceli riskovať stratu vlastnej duše, najmä ak im kňazi zdôrazňovali Ježišov príklad, ktorý svojou smrťou priniesol za ľudstvo. Ideálom pre kresťanov sa stáva mučeníctvo kde sú členovia cirkvi pripravení ako výraz vernosti Bohu dosvedčiť svoju vieru i za najvyššiu cenu. V rímskom svete bolo takéto konanie ťažko pochopiteľné a túžba po smrteľnom mučeníctve sa javila bežnému človeku ako dôkaz kresťanského fanatizmu či chorého pomätenia. Pre rímskych úradníkov predstavovali kresťania podvratné živly protiviace sa v mene akejsi pochybnej povery štátnej moci a rozosievajúcej nepokoj medzi ostatnými občanmi ríše. Kresťania zas vnímali reprezentantov rímskej moci ako nástroj diabla, ktorého prostredníctvom je skúšaná ich pevnosť vo viere a skutočná oddanosť Kristovi. Jedinou autoritou a jedinou zákonnou normou sú pre nich posvätné biblické spisy, ktoré sú nedotknuteľné a neprekonateľné, preto na svätú knihu označenú posvätným znamením skladajú prísahu a sľub vernosti. </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33</w:t>
      </w:r>
    </w:p>
    <w:p>
      <w:pPr>
        <w:pStyle w:val="Normal"/>
        <w:spacing w:before="0" w:after="0"/>
        <w:jc w:val="left"/>
        <w:rPr>
          <w:rFonts w:ascii="Times New Roman" w:hAnsi="Times New Roman"/>
        </w:rPr>
      </w:pPr>
      <w:r>
        <w:rPr>
          <w:rFonts w:cs="Times New Roman" w:ascii="Times New Roman" w:hAnsi="Times New Roman"/>
          <w:color w:val="FF0000"/>
          <w:sz w:val="24"/>
          <w:szCs w:val="24"/>
        </w:rPr>
        <w:t>Perzekúcie voči</w:t>
      </w:r>
      <w:r>
        <w:rPr>
          <w:rFonts w:cs="Times New Roman" w:ascii="Times New Roman" w:hAnsi="Times New Roman"/>
          <w:sz w:val="24"/>
          <w:szCs w:val="24"/>
        </w:rPr>
        <w:t xml:space="preserve"> </w:t>
      </w:r>
      <w:r>
        <w:rPr>
          <w:rFonts w:cs="Times New Roman" w:ascii="Times New Roman" w:hAnsi="Times New Roman"/>
          <w:color w:val="FF0000"/>
          <w:sz w:val="24"/>
          <w:szCs w:val="24"/>
        </w:rPr>
        <w:t>kresťanom neboli v ríši systematické a ani z geografického hľadiska jednotné. Rímske úrady boli vždy pri posudzovaní porušenia zákonov opatrné a väčšina obvinených bola prepustená. Tí čo boli nakoniec usvedčení z porušenia zákona boli obvykle uväznení alebo vyhostení. Mnoho z nich bolo následne na základe amnestií prepustených. Je nepochybne pravda, že zločinci boli po celom impériu v amfiteátroch predhadzovaní divokým zvieratám pre pobavenie ľudu, ale neexistuje žiadny dokument- jediná správa aby takýmto spôsobom zahynul nevinný kresťan.</w:t>
      </w:r>
    </w:p>
    <w:p>
      <w:pPr>
        <w:pStyle w:val="NormalWeb"/>
        <w:spacing w:lineRule="auto" w:line="276" w:beforeAutospacing="0" w:before="0" w:afterAutospacing="0" w:after="0"/>
        <w:jc w:val="left"/>
        <w:rPr>
          <w:rFonts w:ascii="Times New Roman" w:hAnsi="Times New Roman"/>
          <w:i/>
          <w:i/>
          <w:iCs/>
          <w:sz w:val="22"/>
          <w:szCs w:val="22"/>
        </w:rPr>
      </w:pPr>
      <w:r>
        <w:rPr>
          <w:i/>
          <w:iCs/>
          <w:color w:val="FF0000"/>
          <w:sz w:val="22"/>
          <w:szCs w:val="22"/>
        </w:rPr>
        <w:t>(McDonald: Prenasledovanie kresťanov).</w:t>
      </w:r>
    </w:p>
    <w:p>
      <w:pPr>
        <w:pStyle w:val="NormalWeb"/>
        <w:spacing w:lineRule="auto" w:line="276" w:beforeAutospacing="0" w:before="0" w:afterAutospacing="0" w:after="0"/>
        <w:jc w:val="left"/>
        <w:rPr>
          <w:rFonts w:ascii="Times New Roman" w:hAnsi="Times New Roman"/>
          <w:color w:val="FF0000"/>
        </w:rPr>
      </w:pPr>
      <w:r>
        <w:rPr>
          <w:color w:val="FF0000"/>
        </w:rPr>
      </w:r>
    </w:p>
    <w:p>
      <w:pPr>
        <w:pStyle w:val="NormalWeb"/>
        <w:spacing w:lineRule="auto" w:line="276" w:beforeAutospacing="0" w:before="0" w:afterAutospacing="0" w:after="0"/>
        <w:jc w:val="left"/>
        <w:rPr>
          <w:rFonts w:ascii="Times New Roman" w:hAnsi="Times New Roman"/>
          <w:color w:val="FF0000"/>
        </w:rPr>
      </w:pPr>
      <w:r>
        <w:rPr>
          <w:color w:val="FF0000"/>
        </w:rPr>
      </w:r>
    </w:p>
    <w:p>
      <w:pPr>
        <w:pStyle w:val="NormalWeb"/>
        <w:spacing w:lineRule="auto" w:line="276" w:beforeAutospacing="0" w:before="0" w:afterAutospacing="0" w:after="0"/>
        <w:jc w:val="left"/>
        <w:rPr>
          <w:rFonts w:ascii="Times New Roman" w:hAnsi="Times New Roman"/>
          <w:color w:val="FF0000"/>
        </w:rPr>
      </w:pPr>
      <w:r>
        <w:rPr>
          <w:color w:val="FF0000"/>
        </w:rPr>
      </w:r>
    </w:p>
    <w:p>
      <w:pPr>
        <w:pStyle w:val="Normal"/>
        <w:spacing w:before="0" w:after="0"/>
        <w:jc w:val="left"/>
        <w:rPr>
          <w:rFonts w:ascii="Times New Roman" w:hAnsi="Times New Roman"/>
          <w:b/>
          <w:bCs/>
        </w:rPr>
      </w:pPr>
      <w:r>
        <w:rPr>
          <w:rFonts w:cs="Times New Roman" w:ascii="Times New Roman" w:hAnsi="Times New Roman"/>
          <w:b/>
          <w:bCs/>
          <w:sz w:val="24"/>
          <w:szCs w:val="24"/>
        </w:rPr>
        <w:t>34</w:t>
      </w:r>
    </w:p>
    <w:p>
      <w:pPr>
        <w:pStyle w:val="Normal"/>
        <w:spacing w:before="0" w:after="0"/>
        <w:jc w:val="left"/>
        <w:rPr>
          <w:rFonts w:ascii="Times New Roman" w:hAnsi="Times New Roman"/>
        </w:rPr>
      </w:pPr>
      <w:r>
        <w:rPr>
          <w:rFonts w:cs="Times New Roman" w:ascii="Times New Roman" w:hAnsi="Times New Roman"/>
          <w:sz w:val="24"/>
          <w:szCs w:val="24"/>
        </w:rPr>
        <w:t xml:space="preserve">Každé združenie, ktoré chcelo v Rímskom impériu vykonávať určitú činnosť, muselo požiadať senát o udelenie povolenia. Ak štátni úradníci usúdili, že žiadatelia nepredstavujú hrozbu pre verejný poriadok a nie sú nebezpečenstvom pre štát, dali mu povolenie v rámci rímskeho práva „collegia licita“, teda „povolené spolky“. Takto registrovaný spolok mal právnu subjektivitu a mohol vlastniť majetok či uzatvárať dohody. Kresťania však v rámci rímskeho práva využili </w:t>
      </w:r>
      <w:r>
        <w:rPr>
          <w:rFonts w:cs="Times New Roman" w:ascii="Times New Roman" w:hAnsi="Times New Roman"/>
          <w:sz w:val="24"/>
          <w:szCs w:val="24"/>
        </w:rPr>
        <w:t xml:space="preserve">tzv. </w:t>
      </w:r>
      <w:r>
        <w:rPr>
          <w:rFonts w:cs="Times New Roman" w:ascii="Times New Roman" w:hAnsi="Times New Roman"/>
          <w:sz w:val="24"/>
          <w:szCs w:val="24"/>
        </w:rPr>
        <w:t>„všeobecné povolenie“, pri ktorom nebolo potrebne osobitné právne uznanie, nakoľko spadalo pod „generálne povolenie“. Tieto povolenia udeľoval senát pre činnosti, ktorých  zameranie nebolo považované za nebezpečenstvo. Takéto „Kolégium“ malo súkromnoprávny charakter a v rámci svojej činnosti bolo nezávislé - tak po materiálnej ako aj finančnej stránke. Kresťania spadali do dvoch „kolégií“. Prvým bolo „Collegium tenuiorum“ „Spolok slabších“, ktorý sa prezentoval ako charitatívna organizácia na podporu chudobných a chorých členov cirkevnej obce, prípadne na zabezpečenie nevyhnutnej obživy svojich duchovných, keďže umožňoval nadobúdať peňažné prostriedky pre účel</w:t>
      </w:r>
      <w:r>
        <w:rPr>
          <w:rFonts w:cs="Times New Roman" w:ascii="Times New Roman" w:hAnsi="Times New Roman"/>
          <w:sz w:val="24"/>
          <w:szCs w:val="24"/>
        </w:rPr>
        <w:t>y</w:t>
      </w:r>
      <w:r>
        <w:rPr>
          <w:rFonts w:cs="Times New Roman" w:ascii="Times New Roman" w:hAnsi="Times New Roman"/>
          <w:sz w:val="24"/>
          <w:szCs w:val="24"/>
        </w:rPr>
        <w:t xml:space="preserve"> spolku. Druhým bolo „Collegium funeratiium“ „Pohrebný spolok“, ten umožňoval kresťanom v jeho mene nadobúdať cez testamenty väčší majetok - akým boli pozemky a budovy. Tento majetok spravoval biskup a pre jednotlivých členov cirkvi bol neprístupný. </w:t>
      </w:r>
    </w:p>
    <w:p>
      <w:pPr>
        <w:pStyle w:val="Normal"/>
        <w:spacing w:before="0" w:after="0"/>
        <w:jc w:val="left"/>
        <w:rPr>
          <w:rFonts w:ascii="Times New Roman" w:hAnsi="Times New Roman"/>
        </w:rPr>
      </w:pPr>
      <w:r>
        <w:rPr>
          <w:rFonts w:cs="Times New Roman" w:ascii="Times New Roman" w:hAnsi="Times New Roman"/>
          <w:sz w:val="24"/>
          <w:szCs w:val="24"/>
        </w:rPr>
        <w:t xml:space="preserve"> </w:t>
      </w:r>
    </w:p>
    <w:p>
      <w:pPr>
        <w:pStyle w:val="Normal"/>
        <w:spacing w:before="0" w:after="0"/>
        <w:jc w:val="left"/>
        <w:rPr>
          <w:rFonts w:ascii="Times New Roman" w:hAnsi="Times New Roman"/>
        </w:rPr>
      </w:pPr>
      <w:r>
        <w:rPr>
          <w:rFonts w:cs="Times New Roman" w:ascii="Times New Roman" w:hAnsi="Times New Roman"/>
          <w:color w:val="FF0000"/>
          <w:sz w:val="24"/>
          <w:szCs w:val="24"/>
        </w:rPr>
        <w:t>35</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Rímske náboženstvo prvého storočia rozlišovalo medzi štátnym kultom, ktorý rímskej spoločnosti poskytoval stabilitu a vzájomnú prepojenosť, a osobnými hľadiskami jednotlivých občanov. Latinský výraz religio je tiež odvodený od koreňa znamenajúceho „spájať“. To je z mnohých hľadísk užitočné zhrnutie role štátneho kultu: poskytnúť svojmu ľudu, mestu a ríši  stabilný posvätný základ.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(McGrath: Dejiny kresťanstva s.39).</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b/>
          <w:bCs/>
        </w:rPr>
      </w:pPr>
      <w:r>
        <w:rPr>
          <w:rFonts w:cs="Times New Roman" w:ascii="Times New Roman" w:hAnsi="Times New Roman"/>
          <w:b/>
          <w:bCs/>
          <w:sz w:val="24"/>
          <w:szCs w:val="24"/>
        </w:rPr>
        <w:t>HUDBA</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Záver</w:t>
      </w:r>
    </w:p>
    <w:p>
      <w:pPr>
        <w:pStyle w:val="Default"/>
        <w:spacing w:lineRule="auto" w:line="276"/>
        <w:jc w:val="left"/>
        <w:rPr/>
      </w:pPr>
      <w:r>
        <w:rPr>
          <w:color w:val="auto"/>
        </w:rPr>
        <w:t xml:space="preserve">Rímska ríša bola štátom práva, ktorý </w:t>
      </w:r>
      <w:r>
        <w:rPr>
          <w:rStyle w:val="reference-text"/>
          <w:color w:val="auto"/>
        </w:rPr>
        <w:t>zaisťoval a ochraňoval občanov vo všetkých častiach impéria,</w:t>
      </w:r>
      <w:r>
        <w:rPr>
          <w:color w:val="auto"/>
        </w:rPr>
        <w:t xml:space="preserve"> </w:t>
      </w:r>
      <w:r>
        <w:rPr>
          <w:rStyle w:val="reference-text"/>
          <w:color w:val="auto"/>
        </w:rPr>
        <w:t>dával im právo voliť, vstupovať do politiky, slobodne cestovať, poskytoval prístup k vzdelaniu, čítaniu rôznych kníh, učeniu sa jazykov či sociálne výhody.</w:t>
      </w:r>
    </w:p>
    <w:p>
      <w:pPr>
        <w:pStyle w:val="Default"/>
        <w:spacing w:lineRule="auto" w:line="276"/>
        <w:jc w:val="left"/>
        <w:rPr/>
      </w:pPr>
      <w:r>
        <w:rPr>
          <w:rStyle w:val="reference-text"/>
          <w:color w:val="auto"/>
        </w:rPr>
        <w:t>Rímska</w:t>
      </w:r>
      <w:r>
        <w:rPr>
          <w:color w:val="auto"/>
        </w:rPr>
        <w:t xml:space="preserve"> spoločnosť nielen akceptovala všetky náboženstvá, ktoré do nej prichádzali - a to i tie bizarné, ale štátna moc </w:t>
      </w:r>
      <w:r>
        <w:rPr>
          <w:rFonts w:eastAsia="Times New Roman"/>
          <w:color w:val="auto"/>
        </w:rPr>
        <w:t xml:space="preserve">podporovala aj ich aktivity. Podmienkou bolo, že nesmeli </w:t>
      </w:r>
      <w:r>
        <w:rPr>
          <w:rStyle w:val="reference-text"/>
          <w:color w:val="auto"/>
        </w:rPr>
        <w:t xml:space="preserve">vykonávať protištátnu činnosť, znevažovať rímske božstvá, cisárovu autoritu, mať krvavé obete a nešíriť paniku. </w:t>
      </w:r>
      <w:r>
        <w:rPr>
          <w:rFonts w:eastAsia="Times New Roman"/>
          <w:lang w:eastAsia="sk-SK"/>
        </w:rPr>
        <w:t>P</w:t>
      </w:r>
      <w:r>
        <w:rPr/>
        <w:t xml:space="preserve">odľa rímskeho práva boli takéto kritéria rozumné kvôli zachovaniu starodávnej viery, ktorá udržiavala rímske hodnoty akými boli kultúra či morálka, zjednocovala všetkých obyvateľov ríše a nakoniec stála za všetkými úspechmi impéria. </w:t>
      </w:r>
      <w:r>
        <w:rPr>
          <w:rFonts w:eastAsia="Times New Roman"/>
          <w:color w:val="auto"/>
        </w:rPr>
        <w:t xml:space="preserve"> </w:t>
      </w:r>
    </w:p>
    <w:p>
      <w:pPr>
        <w:pStyle w:val="Default"/>
        <w:spacing w:lineRule="auto" w:line="276" w:before="57" w:after="57"/>
        <w:jc w:val="left"/>
        <w:rPr>
          <w:rFonts w:ascii="Times New Roman" w:hAnsi="Times New Roman"/>
        </w:rPr>
      </w:pPr>
      <w:r>
        <w:rPr>
          <w:rFonts w:eastAsia="Times New Roman"/>
          <w:color w:val="auto"/>
        </w:rPr>
        <w:t>S prianím veľa zmysluplných dní vo vašom živote sa lúči Miroslav Lesičko.</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Cambria">
    <w:charset w:val="01"/>
    <w:family w:val="swiss"/>
    <w:pitch w:val="default"/>
  </w:font>
  <w:font w:name="Courier New">
    <w:charset w:val="01"/>
    <w:family w:val="swiss"/>
    <w:pitch w:val="default"/>
  </w:font>
  <w:font w:name="Noto Sans">
    <w:charset w:val="01"/>
    <w:family w:val="swiss"/>
    <w:pitch w:val="default"/>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5f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link w:val="Nadpis1Char"/>
    <w:uiPriority w:val="9"/>
    <w:qFormat/>
    <w:rsid w:val="000f3fc1"/>
    <w:pPr>
      <w:spacing w:lineRule="auto" w:line="240" w:beforeAutospacing="1" w:afterAutospacing="1"/>
      <w:outlineLvl w:val="0"/>
    </w:pPr>
    <w:rPr>
      <w:rFonts w:ascii="Times New Roman" w:hAnsi="Times New Roman" w:eastAsia="Times New Roman" w:cs="Times New Roman"/>
      <w:b/>
      <w:bCs/>
      <w:kern w:val="2"/>
      <w:sz w:val="48"/>
      <w:szCs w:val="48"/>
      <w:lang w:eastAsia="sk-SK"/>
    </w:rPr>
  </w:style>
  <w:style w:type="paragraph" w:styleId="Heading2">
    <w:name w:val="Heading 2"/>
    <w:basedOn w:val="Normal"/>
    <w:next w:val="Normal"/>
    <w:link w:val="Nadpis2Char"/>
    <w:uiPriority w:val="9"/>
    <w:unhideWhenUsed/>
    <w:qFormat/>
    <w:rsid w:val="00866b4d"/>
    <w:pPr>
      <w:keepNext w:val="true"/>
      <w:keepLines/>
      <w:spacing w:lineRule="auto" w:line="259"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Nadpis3Char"/>
    <w:uiPriority w:val="9"/>
    <w:unhideWhenUsed/>
    <w:qFormat/>
    <w:rsid w:val="0089002e"/>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ac57f1"/>
    <w:rPr>
      <w:b/>
      <w:bCs/>
    </w:rPr>
  </w:style>
  <w:style w:type="character" w:styleId="Hyperlink">
    <w:name w:val="Hyperlink"/>
    <w:basedOn w:val="DefaultParagraphFont"/>
    <w:uiPriority w:val="99"/>
    <w:unhideWhenUsed/>
    <w:rsid w:val="00ac57f1"/>
    <w:rPr>
      <w:color w:val="0000FF"/>
      <w:u w:val="single"/>
    </w:rPr>
  </w:style>
  <w:style w:type="character" w:styleId="Emphasis">
    <w:name w:val="Emphasis"/>
    <w:basedOn w:val="DefaultParagraphFont"/>
    <w:uiPriority w:val="20"/>
    <w:qFormat/>
    <w:rsid w:val="00ac57f1"/>
    <w:rPr>
      <w:i/>
      <w:iCs/>
    </w:rPr>
  </w:style>
  <w:style w:type="character" w:styleId="HTMLCite">
    <w:name w:val="HTML Cite"/>
    <w:basedOn w:val="DefaultParagraphFont"/>
    <w:uiPriority w:val="99"/>
    <w:semiHidden/>
    <w:unhideWhenUsed/>
    <w:qFormat/>
    <w:rsid w:val="00ac57f1"/>
    <w:rPr>
      <w:i/>
      <w:iCs/>
    </w:rPr>
  </w:style>
  <w:style w:type="character" w:styleId="reference-text" w:customStyle="1">
    <w:name w:val="reference-text"/>
    <w:basedOn w:val="DefaultParagraphFont"/>
    <w:qFormat/>
    <w:rsid w:val="00ac57f1"/>
    <w:rPr/>
  </w:style>
  <w:style w:type="character" w:styleId="notranslate" w:customStyle="1">
    <w:name w:val="notranslate"/>
    <w:basedOn w:val="DefaultParagraphFont"/>
    <w:qFormat/>
    <w:rsid w:val="00ac57f1"/>
    <w:rPr/>
  </w:style>
  <w:style w:type="character" w:styleId="PredformtovanHTMLChar" w:customStyle="1">
    <w:name w:val="Predformátované HTML Char"/>
    <w:basedOn w:val="DefaultParagraphFont"/>
    <w:link w:val="HTMLPreformatted"/>
    <w:uiPriority w:val="99"/>
    <w:qFormat/>
    <w:rsid w:val="00ac57f1"/>
    <w:rPr>
      <w:rFonts w:ascii="Courier New" w:hAnsi="Courier New" w:eastAsia="Times New Roman" w:cs="Courier New"/>
      <w:sz w:val="20"/>
      <w:szCs w:val="20"/>
      <w:lang w:eastAsia="sk-SK"/>
    </w:rPr>
  </w:style>
  <w:style w:type="character" w:styleId="Datum1" w:customStyle="1">
    <w:name w:val="Datum1"/>
    <w:qFormat/>
    <w:rsid w:val="00ac57f1"/>
    <w:rPr/>
  </w:style>
  <w:style w:type="character" w:styleId="medium-8" w:customStyle="1">
    <w:name w:val="medium-8"/>
    <w:qFormat/>
    <w:rsid w:val="00ac57f1"/>
    <w:rPr/>
  </w:style>
  <w:style w:type="character" w:styleId="shorttext" w:customStyle="1">
    <w:name w:val="short_text"/>
    <w:basedOn w:val="DefaultParagraphFont"/>
    <w:qFormat/>
    <w:rsid w:val="00e4124f"/>
    <w:rPr/>
  </w:style>
  <w:style w:type="character" w:styleId="Nadpis1Char" w:customStyle="1">
    <w:name w:val="Nadpis 1 Char"/>
    <w:basedOn w:val="DefaultParagraphFont"/>
    <w:link w:val="Heading1"/>
    <w:uiPriority w:val="9"/>
    <w:qFormat/>
    <w:rsid w:val="000f3fc1"/>
    <w:rPr>
      <w:rFonts w:ascii="Times New Roman" w:hAnsi="Times New Roman" w:eastAsia="Times New Roman" w:cs="Times New Roman"/>
      <w:b/>
      <w:bCs/>
      <w:kern w:val="2"/>
      <w:sz w:val="48"/>
      <w:szCs w:val="48"/>
      <w:lang w:eastAsia="sk-SK"/>
    </w:rPr>
  </w:style>
  <w:style w:type="character" w:styleId="Nadpis3Char" w:customStyle="1">
    <w:name w:val="Nadpis 3 Char"/>
    <w:basedOn w:val="DefaultParagraphFont"/>
    <w:link w:val="Heading3"/>
    <w:uiPriority w:val="9"/>
    <w:qFormat/>
    <w:rsid w:val="0089002e"/>
    <w:rPr>
      <w:rFonts w:ascii="Cambria" w:hAnsi="Cambria" w:eastAsia="" w:cs="" w:asciiTheme="majorHAnsi" w:cstheme="majorBidi" w:eastAsiaTheme="majorEastAsia" w:hAnsiTheme="majorHAnsi"/>
      <w:color w:themeColor="accent1" w:themeShade="7f" w:val="243F60"/>
      <w:sz w:val="24"/>
      <w:szCs w:val="24"/>
    </w:rPr>
  </w:style>
  <w:style w:type="character" w:styleId="Nadpis2Char" w:customStyle="1">
    <w:name w:val="Nadpis 2 Char"/>
    <w:basedOn w:val="DefaultParagraphFont"/>
    <w:link w:val="Heading2"/>
    <w:uiPriority w:val="9"/>
    <w:qFormat/>
    <w:rsid w:val="00866b4d"/>
    <w:rPr>
      <w:rFonts w:ascii="Cambria" w:hAnsi="Cambria" w:eastAsia="" w:cs="" w:asciiTheme="majorHAnsi" w:cstheme="majorBidi" w:eastAsiaTheme="majorEastAsia" w:hAnsiTheme="majorHAnsi"/>
      <w:color w:themeColor="accent1" w:themeShade="bf" w:val="365F91"/>
      <w:sz w:val="26"/>
      <w:szCs w:val="26"/>
    </w:rPr>
  </w:style>
  <w:style w:type="character" w:styleId="resultssummary" w:customStyle="1">
    <w:name w:val="results_summary"/>
    <w:basedOn w:val="DefaultParagraphFont"/>
    <w:qFormat/>
    <w:rsid w:val="000607fd"/>
    <w:rPr/>
  </w:style>
  <w:style w:type="character" w:styleId="label" w:customStyle="1">
    <w:name w:val="label"/>
    <w:basedOn w:val="DefaultParagraphFont"/>
    <w:qFormat/>
    <w:rsid w:val="000607fd"/>
    <w:rPr/>
  </w:style>
  <w:style w:type="character" w:styleId="TextChar" w:customStyle="1">
    <w:name w:val="Text Char"/>
    <w:link w:val="Text"/>
    <w:qFormat/>
    <w:rsid w:val="00117cd0"/>
    <w:rPr>
      <w:rFonts w:ascii="Cambria" w:hAnsi="Cambria" w:eastAsia="Courier New" w:cs="Times New Roman"/>
      <w:szCs w:val="24"/>
      <w:lang w:val="cs-CZ" w:eastAsia="cs-CZ"/>
    </w:rPr>
  </w:style>
  <w:style w:type="character" w:styleId="addmd" w:customStyle="1">
    <w:name w:val="addmd"/>
    <w:basedOn w:val="DefaultParagraphFont"/>
    <w:qFormat/>
    <w:rsid w:val="00b03c7d"/>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customStyle="1">
    <w:name w:val="Default"/>
    <w:qFormat/>
    <w:rsid w:val="00ac57f1"/>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sk-SK" w:eastAsia="en-US" w:bidi="ar-SA"/>
    </w:rPr>
  </w:style>
  <w:style w:type="paragraph" w:styleId="NormalWeb">
    <w:name w:val="Normal (Web)"/>
    <w:basedOn w:val="Normal"/>
    <w:uiPriority w:val="99"/>
    <w:unhideWhenUsed/>
    <w:qFormat/>
    <w:rsid w:val="00ac57f1"/>
    <w:pPr>
      <w:spacing w:lineRule="auto" w:line="240" w:beforeAutospacing="1" w:afterAutospacing="1"/>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uiPriority w:val="99"/>
    <w:unhideWhenUsed/>
    <w:qFormat/>
    <w:rsid w:val="00ac57f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paragraph" w:styleId="PargrafoparaBibl" w:customStyle="1">
    <w:name w:val="Parágrafo para Bibl."/>
    <w:qFormat/>
    <w:rsid w:val="00e4124f"/>
    <w:pPr>
      <w:widowControl w:val="false"/>
      <w:suppressAutoHyphens w:val="true"/>
      <w:bidi w:val="0"/>
      <w:spacing w:lineRule="auto" w:line="240" w:before="0" w:after="240"/>
      <w:ind w:hanging="567" w:left="567"/>
      <w:jc w:val="both"/>
    </w:pPr>
    <w:rPr>
      <w:rFonts w:ascii="Times New Roman" w:hAnsi="Times New Roman" w:eastAsia="Times New Roman" w:cs="Times New Roman"/>
      <w:color w:val="auto"/>
      <w:kern w:val="0"/>
      <w:sz w:val="24"/>
      <w:szCs w:val="20"/>
      <w:lang w:val="pt-BR" w:eastAsia="pt-BR" w:bidi="ar-SA"/>
    </w:rPr>
  </w:style>
  <w:style w:type="paragraph" w:styleId="Text" w:customStyle="1">
    <w:name w:val="Text"/>
    <w:link w:val="TextChar"/>
    <w:qFormat/>
    <w:rsid w:val="00117cd0"/>
    <w:pPr>
      <w:widowControl/>
      <w:suppressAutoHyphens w:val="true"/>
      <w:bidi w:val="0"/>
      <w:spacing w:lineRule="auto" w:line="240" w:before="0" w:after="0"/>
      <w:ind w:firstLine="284"/>
      <w:jc w:val="both"/>
    </w:pPr>
    <w:rPr>
      <w:rFonts w:ascii="Cambria" w:hAnsi="Cambria" w:eastAsia="Courier New" w:cs="Times New Roman"/>
      <w:color w:val="auto"/>
      <w:kern w:val="0"/>
      <w:sz w:val="22"/>
      <w:szCs w:val="24"/>
      <w:lang w:val="cs-CZ" w:eastAsia="cs-CZ" w:bidi="ar-SA"/>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2.warwick.ac.uk/fac/arts/classics/staff/scot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8554</TotalTime>
  <Application>LibreOffice/24.2.7.2$Linux_X86_64 LibreOffice_project/420$Build-2</Application>
  <AppVersion>15.0000</AppVersion>
  <Pages>13</Pages>
  <Words>5547</Words>
  <Characters>33063</Characters>
  <CharactersWithSpaces>38533</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2017-11-09T16:36:00Z</dcterms:created>
  <dc:creator>Acer</dc:creator>
  <dc:description/>
  <dc:language>sk-SK</dc:language>
  <cp:lastModifiedBy>el motus</cp:lastModifiedBy>
  <dcterms:modified xsi:type="dcterms:W3CDTF">2026-02-05T20:16:54Z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file>